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MCK — Q1 FY2027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McKesson Corporation</w:t>
            </w:r>
          </w:p>
        </w:tc>
      </w:tr>
      <w:tr>
        <w:tc>
          <w:tcPr>
            <w:tcW w:type="dxa" w:w="4320"/>
          </w:tcPr>
          <w:p>
            <w:r>
              <w:rPr>
                <w:rFonts w:ascii="Calibri" w:hAnsi="Calibri"/>
                <w:b/>
                <w:sz w:val="22"/>
              </w:rPr>
              <w:t>Ticker</w:t>
            </w:r>
          </w:p>
        </w:tc>
        <w:tc>
          <w:tcPr>
            <w:tcW w:type="dxa" w:w="4320"/>
          </w:tcPr>
          <w:p>
            <w:r>
              <w:rPr>
                <w:rFonts w:ascii="Calibri" w:hAnsi="Calibri"/>
                <w:sz w:val="22"/>
              </w:rPr>
              <w:t>MCK (NYSE)</w:t>
            </w:r>
          </w:p>
        </w:tc>
      </w:tr>
      <w:tr>
        <w:tc>
          <w:tcPr>
            <w:tcW w:type="dxa" w:w="4320"/>
          </w:tcPr>
          <w:p>
            <w:r>
              <w:rPr>
                <w:rFonts w:ascii="Calibri" w:hAnsi="Calibri"/>
                <w:b/>
                <w:sz w:val="22"/>
              </w:rPr>
              <w:t>Reporting Period</w:t>
            </w:r>
          </w:p>
        </w:tc>
        <w:tc>
          <w:tcPr>
            <w:tcW w:type="dxa" w:w="4320"/>
          </w:tcPr>
          <w:p>
            <w:r>
              <w:rPr>
                <w:rFonts w:ascii="Calibri" w:hAnsi="Calibri"/>
                <w:sz w:val="22"/>
              </w:rPr>
              <w:t>Q1 FY2027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 After Market Close</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Sector ETF Benchmark</w:t>
            </w:r>
          </w:p>
        </w:tc>
        <w:tc>
          <w:tcPr>
            <w:tcW w:type="dxa" w:w="4320"/>
          </w:tcPr>
          <w:p>
            <w:r>
              <w:rPr>
                <w:rFonts w:ascii="Calibri" w:hAnsi="Calibri"/>
                <w:sz w:val="22"/>
              </w:rPr>
              <w:t>XLV (Health Care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sits at a manageable bar on adjusted EPS, but the biggest swing factor is whether GLP-1 distribution volumes rebounded sequentially after the Q4 FY2026 dip, and whether management's tone on the Medical-Surgical separation timeline remains confident.</w:t>
      </w:r>
    </w:p>
    <w:p>
      <w:r>
        <w:rPr>
          <w:rFonts w:ascii="Calibri" w:hAnsi="Calibri"/>
          <w:color w:val="525866"/>
          <w:sz w:val="22"/>
        </w:rPr>
        <w:t xml:space="preserve">Heading into Q1 FY2027, the bar on </w:t>
      </w:r>
      <w:r>
        <w:rPr>
          <w:rFonts w:ascii="Calibri" w:hAnsi="Calibri"/>
          <w:b/>
          <w:color w:val="525866"/>
          <w:sz w:val="22"/>
        </w:rPr>
        <w:t>adjusted EPS looks achievable</w:t>
      </w:r>
      <w:r>
        <w:rPr>
          <w:rFonts w:ascii="Calibri" w:hAnsi="Calibri"/>
          <w:color w:val="525866"/>
          <w:sz w:val="22"/>
        </w:rPr>
        <w:t xml:space="preserve"> at $9.55 consensus vs. $8.26 in the prior-year quarter — a ~16% YoY hurdle that is consistent with management's full-year guidance of $43.80–$44.60 and the company's stated 14–16% organic growth trajectory. Management entered FY2027 from a position of strength, with CEO Brian Tyler explicitly flagging "significant momentum" and reaffirming long-term targets on the May 7 earnings call; tone has been unchanged and constructive since then, with no pre-announcement or guidance revision. Estimate revisions have been essentially flat since the post-print baseline (FY2027 EPS consensus moved from ~$44.27 to ~$44.25), suggesting the Street is comfortable with the guide rather than building in incremental upside. The stock has rallied ~10% since the Q4 print but has slightly lagged XLV (+12%), implying the market has not yet fully priced in a beat — the multiple remains below DCF-based fair value, leaving room for re-rating if execution is clean. The key wildcard is </w:t>
      </w:r>
      <w:r>
        <w:rPr>
          <w:rFonts w:ascii="Calibri" w:hAnsi="Calibri"/>
          <w:b/>
          <w:color w:val="525866"/>
          <w:sz w:val="22"/>
        </w:rPr>
        <w:t>GLP-1 distribution volume trajectory</w:t>
      </w:r>
      <w:r>
        <w:rPr>
          <w:rFonts w:ascii="Calibri" w:hAnsi="Calibri"/>
          <w:color w:val="525866"/>
          <w:sz w:val="22"/>
        </w:rPr>
        <w:t>: Q4 FY2026 saw a 4% sequential decline that spooked the revenue line (though management confirmed zero operating profit impact), and any sign of sequential recovery in Q1 — combined with continued strength in the Oncology &amp; Multispecialty segment — could be the catalyst for a positive stock reaction.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on adjusted EPS (~$9.55, +16% YoY) with the bigger swing factor being Oncology &amp; Multispecialty operating profit, where the segment has consistently beaten expectations and any acceleration in provider network growth or acquisition contribution could drive upside. Revenue is a lower-quality signal given known IRA-related branded pricing headwinds and customer lapping effects that depress the top line without impacting operating profit.</w:t>
      </w:r>
    </w:p>
    <w:p>
      <w:pPr>
        <w:pStyle w:val="Heading3"/>
      </w:pPr>
      <w:r>
        <w:rPr>
          <w:rFonts w:ascii="Calibri" w:hAnsi="Calibri"/>
          <w:b/>
          <w:color w:val="3B4259"/>
          <w:sz w:val="24"/>
        </w:rPr>
        <w:t>Table 1 — Current Quarter Snapshot (Q1 FY2027)</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(Q4 FY2026)</w:t>
            </w:r>
          </w:p>
        </w:tc>
        <w:tc>
          <w:tcPr>
            <w:tcW w:type="dxa" w:w="1234"/>
            <w:shd w:val="clear" w:color="auto" w:fill="3B4259"/>
          </w:tcPr>
          <w:p>
            <w:r>
              <w:rPr>
                <w:rFonts w:ascii="Calibri" w:hAnsi="Calibri"/>
                <w:b/>
                <w:color w:val="FFFFFF"/>
                <w:sz w:val="22"/>
              </w:rPr>
              <w:t>Prior Year Period (Q1 FY2026)</w:t>
            </w:r>
          </w:p>
        </w:tc>
        <w:tc>
          <w:tcPr>
            <w:tcW w:type="dxa" w:w="1234"/>
            <w:shd w:val="clear" w:color="auto" w:fill="3B4259"/>
          </w:tcPr>
          <w:p>
            <w:r>
              <w:rPr>
                <w:rFonts w:ascii="Calibri" w:hAnsi="Calibri"/>
                <w:b/>
                <w:color w:val="FFFFFF"/>
                <w:sz w:val="22"/>
              </w:rPr>
              <w:t>Consensus Estimate (Q1 FY2027)</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FY2027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w:t>
            </w:r>
          </w:p>
        </w:tc>
        <w:tc>
          <w:tcPr>
            <w:tcW w:type="dxa" w:w="1234"/>
          </w:tcPr>
          <w:p>
            <w:r>
              <w:rPr>
                <w:rFonts w:ascii="Calibri" w:hAnsi="Calibri"/>
                <w:sz w:val="22"/>
              </w:rPr>
              <w:t>$96.3B</w:t>
            </w:r>
          </w:p>
        </w:tc>
        <w:tc>
          <w:tcPr>
            <w:tcW w:type="dxa" w:w="1234"/>
          </w:tcPr>
          <w:p>
            <w:r>
              <w:rPr>
                <w:rFonts w:ascii="Calibri" w:hAnsi="Calibri"/>
                <w:sz w:val="22"/>
              </w:rPr>
              <w:t>$97.8B</w:t>
            </w:r>
          </w:p>
        </w:tc>
        <w:tc>
          <w:tcPr>
            <w:tcW w:type="dxa" w:w="1234"/>
          </w:tcPr>
          <w:p>
            <w:r>
              <w:rPr>
                <w:rFonts w:ascii="Calibri" w:hAnsi="Calibri"/>
                <w:sz w:val="22"/>
              </w:rPr>
              <w:t>$104.1B</w:t>
            </w:r>
          </w:p>
        </w:tc>
        <w:tc>
          <w:tcPr>
            <w:tcW w:type="dxa" w:w="1234"/>
          </w:tcPr>
          <w:p>
            <w:r>
              <w:rPr>
                <w:rFonts w:ascii="Calibri" w:hAnsi="Calibri"/>
                <w:sz w:val="22"/>
              </w:rPr>
              <w:t>+6.4%</w:t>
            </w:r>
          </w:p>
        </w:tc>
        <w:tc>
          <w:tcPr>
            <w:tcW w:type="dxa" w:w="1234"/>
          </w:tcPr>
          <w:p>
            <w:r>
              <w:rPr>
                <w:rFonts w:ascii="Calibri" w:hAnsi="Calibri"/>
                <w:sz w:val="22"/>
              </w:rPr>
              <w:t>+5% to +9% YoY (FY)</w:t>
            </w:r>
          </w:p>
        </w:tc>
        <w:tc>
          <w:tcPr>
            <w:tcW w:type="dxa" w:w="1234"/>
          </w:tcPr>
          <w:p>
            <w:r>
              <w:rPr>
                <w:rFonts w:ascii="Calibri" w:hAnsi="Calibri"/>
                <w:sz w:val="22"/>
              </w:rPr>
              <w:t>~+6.4% vs. midpoint of +7%</w:t>
            </w:r>
          </w:p>
        </w:tc>
      </w:tr>
      <w:tr>
        <w:tc>
          <w:tcPr>
            <w:tcW w:type="dxa" w:w="1234"/>
          </w:tcPr>
          <w:p>
            <w:r>
              <w:rPr>
                <w:rFonts w:ascii="Calibri" w:hAnsi="Calibri"/>
                <w:sz w:val="22"/>
              </w:rPr>
              <w:t>Adjusted EPS (Diluted - Operating)</w:t>
            </w:r>
          </w:p>
        </w:tc>
        <w:tc>
          <w:tcPr>
            <w:tcW w:type="dxa" w:w="1234"/>
          </w:tcPr>
          <w:p>
            <w:r>
              <w:rPr>
                <w:rFonts w:ascii="Calibri" w:hAnsi="Calibri"/>
                <w:sz w:val="22"/>
              </w:rPr>
              <w:t>$11.69</w:t>
            </w:r>
          </w:p>
        </w:tc>
        <w:tc>
          <w:tcPr>
            <w:tcW w:type="dxa" w:w="1234"/>
          </w:tcPr>
          <w:p>
            <w:r>
              <w:rPr>
                <w:rFonts w:ascii="Calibri" w:hAnsi="Calibri"/>
                <w:sz w:val="22"/>
              </w:rPr>
              <w:t>$8.26</w:t>
            </w:r>
          </w:p>
        </w:tc>
        <w:tc>
          <w:tcPr>
            <w:tcW w:type="dxa" w:w="1234"/>
          </w:tcPr>
          <w:p>
            <w:r>
              <w:rPr>
                <w:rFonts w:ascii="Calibri" w:hAnsi="Calibri"/>
                <w:sz w:val="22"/>
              </w:rPr>
              <w:t>$9.55</w:t>
            </w:r>
          </w:p>
        </w:tc>
        <w:tc>
          <w:tcPr>
            <w:tcW w:type="dxa" w:w="1234"/>
          </w:tcPr>
          <w:p>
            <w:r>
              <w:rPr>
                <w:rFonts w:ascii="Calibri" w:hAnsi="Calibri"/>
                <w:sz w:val="22"/>
              </w:rPr>
              <w:t>+15.6%</w:t>
            </w:r>
          </w:p>
        </w:tc>
        <w:tc>
          <w:tcPr>
            <w:tcW w:type="dxa" w:w="1234"/>
          </w:tcPr>
          <w:p>
            <w:r>
              <w:rPr>
                <w:rFonts w:ascii="Calibri" w:hAnsi="Calibri"/>
                <w:sz w:val="22"/>
              </w:rPr>
              <w:t>$43.80–$44.60 FY (midpoint $44.20)</w:t>
            </w:r>
          </w:p>
        </w:tc>
        <w:tc>
          <w:tcPr>
            <w:tcW w:type="dxa" w:w="1234"/>
          </w:tcPr>
          <w:p>
            <w:r>
              <w:rPr>
                <w:rFonts w:ascii="Calibri" w:hAnsi="Calibri"/>
                <w:sz w:val="22"/>
              </w:rPr>
              <w:t>On track; Q1 ~21.6% of FY midpoint</w:t>
            </w:r>
          </w:p>
        </w:tc>
      </w:tr>
      <w:tr>
        <w:tc>
          <w:tcPr>
            <w:tcW w:type="dxa" w:w="1234"/>
          </w:tcPr>
          <w:p>
            <w:r>
              <w:rPr>
                <w:rFonts w:ascii="Calibri" w:hAnsi="Calibri"/>
                <w:sz w:val="22"/>
              </w:rPr>
              <w:t>Oncology &amp; Multispecialty Segment Operating Profit</w:t>
            </w:r>
          </w:p>
        </w:tc>
        <w:tc>
          <w:tcPr>
            <w:tcW w:type="dxa" w:w="1234"/>
          </w:tcPr>
          <w:p>
            <w:r>
              <w:rPr>
                <w:rFonts w:ascii="Calibri" w:hAnsi="Calibri"/>
                <w:sz w:val="22"/>
              </w:rPr>
              <w:t>$385M</w:t>
            </w:r>
          </w:p>
        </w:tc>
        <w:tc>
          <w:tcPr>
            <w:tcW w:type="dxa" w:w="1234"/>
          </w:tcPr>
          <w:p>
            <w:r>
              <w:rPr>
                <w:rFonts w:ascii="Calibri" w:hAnsi="Calibri"/>
                <w:sz w:val="22"/>
              </w:rPr>
              <w:t>$287M</w:t>
            </w:r>
          </w:p>
        </w:tc>
        <w:tc>
          <w:tcPr>
            <w:tcW w:type="dxa" w:w="1234"/>
          </w:tcPr>
          <w:p>
            <w:r>
              <w:rPr>
                <w:rFonts w:ascii="Calibri" w:hAnsi="Calibri"/>
                <w:sz w:val="22"/>
              </w:rPr>
              <w:t>$375M</w:t>
            </w:r>
          </w:p>
        </w:tc>
        <w:tc>
          <w:tcPr>
            <w:tcW w:type="dxa" w:w="1234"/>
          </w:tcPr>
          <w:p>
            <w:r>
              <w:rPr>
                <w:rFonts w:ascii="Calibri" w:hAnsi="Calibri"/>
                <w:sz w:val="22"/>
              </w:rPr>
              <w:t>+30.7%</w:t>
            </w:r>
          </w:p>
        </w:tc>
        <w:tc>
          <w:tcPr>
            <w:tcW w:type="dxa" w:w="1234"/>
          </w:tcPr>
          <w:p>
            <w:r>
              <w:rPr>
                <w:rFonts w:ascii="Calibri" w:hAnsi="Calibri"/>
                <w:sz w:val="22"/>
              </w:rPr>
              <w:t>+13.5% to +17.5% YoY (FY)</w:t>
            </w:r>
          </w:p>
        </w:tc>
        <w:tc>
          <w:tcPr>
            <w:tcW w:type="dxa" w:w="1234"/>
          </w:tcPr>
          <w:p>
            <w:r>
              <w:rPr>
                <w:rFonts w:ascii="Calibri" w:hAnsi="Calibri"/>
                <w:sz w:val="22"/>
              </w:rPr>
              <w:t>Consensus implies ~+30.7% YoY; above FY guide range</w:t>
            </w:r>
          </w:p>
        </w:tc>
      </w:tr>
      <w:tr>
        <w:tc>
          <w:tcPr>
            <w:tcW w:type="dxa" w:w="1234"/>
          </w:tcPr>
          <w:p>
            <w:r>
              <w:rPr>
                <w:rFonts w:ascii="Calibri" w:hAnsi="Calibri"/>
                <w:sz w:val="22"/>
              </w:rPr>
              <w:t>North American Pharma Segment Operating Profit</w:t>
            </w:r>
          </w:p>
        </w:tc>
        <w:tc>
          <w:tcPr>
            <w:tcW w:type="dxa" w:w="1234"/>
          </w:tcPr>
          <w:p>
            <w:r>
              <w:rPr>
                <w:rFonts w:ascii="Calibri" w:hAnsi="Calibri"/>
                <w:sz w:val="22"/>
              </w:rPr>
              <w:t>$980M</w:t>
            </w:r>
          </w:p>
        </w:tc>
        <w:tc>
          <w:tcPr>
            <w:tcW w:type="dxa" w:w="1234"/>
          </w:tcPr>
          <w:p>
            <w:r>
              <w:rPr>
                <w:rFonts w:ascii="Calibri" w:hAnsi="Calibri"/>
                <w:sz w:val="22"/>
              </w:rPr>
              <w:t>$749M</w:t>
            </w:r>
          </w:p>
        </w:tc>
        <w:tc>
          <w:tcPr>
            <w:tcW w:type="dxa" w:w="1234"/>
          </w:tcPr>
          <w:p>
            <w:r>
              <w:rPr>
                <w:rFonts w:ascii="Calibri" w:hAnsi="Calibri"/>
                <w:sz w:val="22"/>
              </w:rPr>
              <w:t>$808M</w:t>
            </w:r>
          </w:p>
        </w:tc>
        <w:tc>
          <w:tcPr>
            <w:tcW w:type="dxa" w:w="1234"/>
          </w:tcPr>
          <w:p>
            <w:r>
              <w:rPr>
                <w:rFonts w:ascii="Calibri" w:hAnsi="Calibri"/>
                <w:sz w:val="22"/>
              </w:rPr>
              <w:t>+7.9%</w:t>
            </w:r>
          </w:p>
        </w:tc>
        <w:tc>
          <w:tcPr>
            <w:tcW w:type="dxa" w:w="1234"/>
          </w:tcPr>
          <w:p>
            <w:r>
              <w:rPr>
                <w:rFonts w:ascii="Calibri" w:hAnsi="Calibri"/>
                <w:sz w:val="22"/>
              </w:rPr>
              <w:t>+5.5% to +9.5% YoY (FY)</w:t>
            </w:r>
          </w:p>
        </w:tc>
        <w:tc>
          <w:tcPr>
            <w:tcW w:type="dxa" w:w="1234"/>
          </w:tcPr>
          <w:p>
            <w:r>
              <w:rPr>
                <w:rFonts w:ascii="Calibri" w:hAnsi="Calibri"/>
                <w:sz w:val="22"/>
              </w:rPr>
              <w:t>Consensus implies ~+7.9% YoY; within FY guide range</w:t>
            </w:r>
          </w:p>
        </w:tc>
      </w:tr>
      <w:tr>
        <w:tc>
          <w:tcPr>
            <w:tcW w:type="dxa" w:w="1234"/>
          </w:tcPr>
          <w:p>
            <w:r>
              <w:rPr>
                <w:rFonts w:ascii="Calibri" w:hAnsi="Calibri"/>
                <w:sz w:val="22"/>
              </w:rPr>
              <w:t>RxTS (Prescription Technology Solutions) Segment Operating Profit</w:t>
            </w:r>
          </w:p>
        </w:tc>
        <w:tc>
          <w:tcPr>
            <w:tcW w:type="dxa" w:w="1234"/>
          </w:tcPr>
          <w:p>
            <w:r>
              <w:rPr>
                <w:rFonts w:ascii="Calibri" w:hAnsi="Calibri"/>
                <w:sz w:val="22"/>
              </w:rPr>
              <w:t>$322M</w:t>
            </w:r>
          </w:p>
        </w:tc>
        <w:tc>
          <w:tcPr>
            <w:tcW w:type="dxa" w:w="1234"/>
          </w:tcPr>
          <w:p>
            <w:r>
              <w:rPr>
                <w:rFonts w:ascii="Calibri" w:hAnsi="Calibri"/>
                <w:sz w:val="22"/>
              </w:rPr>
              <w:t>$269M</w:t>
            </w:r>
          </w:p>
        </w:tc>
        <w:tc>
          <w:tcPr>
            <w:tcW w:type="dxa" w:w="1234"/>
          </w:tcPr>
          <w:p>
            <w:r>
              <w:rPr>
                <w:rFonts w:ascii="Calibri" w:hAnsi="Calibri"/>
                <w:sz w:val="22"/>
              </w:rPr>
              <w:t>$301M</w:t>
            </w:r>
          </w:p>
        </w:tc>
        <w:tc>
          <w:tcPr>
            <w:tcW w:type="dxa" w:w="1234"/>
          </w:tcPr>
          <w:p>
            <w:r>
              <w:rPr>
                <w:rFonts w:ascii="Calibri" w:hAnsi="Calibri"/>
                <w:sz w:val="22"/>
              </w:rPr>
              <w:t>+11.9%</w:t>
            </w:r>
          </w:p>
        </w:tc>
        <w:tc>
          <w:tcPr>
            <w:tcW w:type="dxa" w:w="1234"/>
          </w:tcPr>
          <w:p>
            <w:r>
              <w:rPr>
                <w:rFonts w:ascii="Calibri" w:hAnsi="Calibri"/>
                <w:sz w:val="22"/>
              </w:rPr>
              <w:t>+11% to +15% YoY (FY)</w:t>
            </w:r>
          </w:p>
        </w:tc>
        <w:tc>
          <w:tcPr>
            <w:tcW w:type="dxa" w:w="1234"/>
          </w:tcPr>
          <w:p>
            <w:r>
              <w:rPr>
                <w:rFonts w:ascii="Calibri" w:hAnsi="Calibri"/>
                <w:sz w:val="22"/>
              </w:rPr>
              <w:t>Consensus implies ~+11.9% YoY; at low end of FY guide</w:t>
            </w:r>
          </w:p>
        </w:tc>
      </w:tr>
      <w:tr>
        <w:tc>
          <w:tcPr>
            <w:tcW w:type="dxa" w:w="1234"/>
          </w:tcPr>
          <w:p>
            <w:r>
              <w:rPr>
                <w:rFonts w:ascii="Calibri" w:hAnsi="Calibri"/>
                <w:sz w:val="22"/>
              </w:rPr>
              <w:t>Free Cash Flow</w:t>
            </w:r>
          </w:p>
        </w:tc>
        <w:tc>
          <w:tcPr>
            <w:tcW w:type="dxa" w:w="1234"/>
          </w:tcPr>
          <w:p>
            <w:r>
              <w:rPr>
                <w:rFonts w:ascii="Calibri" w:hAnsi="Calibri"/>
                <w:sz w:val="22"/>
              </w:rPr>
              <w:t>$3.236B</w:t>
            </w:r>
          </w:p>
        </w:tc>
        <w:tc>
          <w:tcPr>
            <w:tcW w:type="dxa" w:w="1234"/>
          </w:tcPr>
          <w:p>
            <w:r>
              <w:rPr>
                <w:rFonts w:ascii="Calibri" w:hAnsi="Calibri"/>
                <w:sz w:val="22"/>
              </w:rPr>
              <w:t>-$1.107B</w:t>
            </w:r>
          </w:p>
        </w:tc>
        <w:tc>
          <w:tcPr>
            <w:tcW w:type="dxa" w:w="1234"/>
          </w:tcPr>
          <w:p>
            <w:r>
              <w:rPr>
                <w:rFonts w:ascii="Calibri" w:hAnsi="Calibri"/>
                <w:sz w:val="22"/>
              </w:rPr>
              <w:t>-$872M</w:t>
            </w:r>
          </w:p>
        </w:tc>
        <w:tc>
          <w:tcPr>
            <w:tcW w:type="dxa" w:w="1234"/>
          </w:tcPr>
          <w:p>
            <w:r>
              <w:rPr>
                <w:rFonts w:ascii="Calibri" w:hAnsi="Calibri"/>
                <w:sz w:val="22"/>
              </w:rPr>
              <w:t>N/A (seasonal; Q1 typically negative)</w:t>
            </w:r>
          </w:p>
        </w:tc>
        <w:tc>
          <w:tcPr>
            <w:tcW w:type="dxa" w:w="1234"/>
          </w:tcPr>
          <w:p>
            <w:r>
              <w:rPr>
                <w:rFonts w:ascii="Calibri" w:hAnsi="Calibri"/>
                <w:sz w:val="22"/>
              </w:rPr>
              <w:t>$4.5B–$4.9B FY</w:t>
            </w:r>
          </w:p>
        </w:tc>
        <w:tc>
          <w:tcPr>
            <w:tcW w:type="dxa" w:w="1234"/>
          </w:tcPr>
          <w:p>
            <w:r>
              <w:rPr>
                <w:rFonts w:ascii="Calibri" w:hAnsi="Calibri"/>
                <w:sz w:val="22"/>
              </w:rPr>
              <w:t>Q1 FCF not directly comparable to FY guide</w:t>
            </w:r>
          </w:p>
        </w:tc>
      </w:tr>
    </w:tbl>
    <w:p>
      <w:r>
        <w:rPr>
          <w:rFonts w:ascii="Calibri" w:hAnsi="Calibri"/>
          <w:color w:val="525866"/>
          <w:sz w:val="22"/>
        </w:rPr>
        <w:t>Sources: Visible Alpha consensus and actuals data. Revenue, EPS Diluted - Operating($), Oncology &amp; Multispecialty, North American Pharmaceutical, and RxTS segment operating profit figures sourced from Visible Alpha. FY2027 guidance ranges from MCK Q4 FY2026 earnings call (May 7, 2026).</w:t>
      </w:r>
    </w:p>
    <w:p>
      <w:pPr>
        <w:pStyle w:val="Heading3"/>
      </w:pPr>
      <w:r>
        <w:rPr>
          <w:rFonts w:ascii="Calibri" w:hAnsi="Calibri"/>
          <w:b/>
          <w:color w:val="3B4259"/>
          <w:sz w:val="24"/>
        </w:rPr>
        <w:t>Table 2 — Beat/Miss History (Last 8 Quarters)</w:t>
      </w:r>
    </w:p>
    <w:p>
      <w:r>
        <w:rPr>
          <w:rFonts w:ascii="Calibri" w:hAnsi="Calibri"/>
          <w:color w:val="525866"/>
          <w:sz w:val="22"/>
        </w:rPr>
        <w:t>Top 2 KPIs: Adjusted EPS (Diluted - Operating) and Oncology &amp; Multispecialty Segment Operating Profit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Q4 FY2026</w:t>
            </w:r>
          </w:p>
        </w:tc>
        <w:tc>
          <w:tcPr>
            <w:tcW w:type="dxa" w:w="1440"/>
          </w:tcPr>
          <w:p>
            <w:r>
              <w:rPr>
                <w:rFonts w:ascii="Calibri" w:hAnsi="Calibri"/>
                <w:sz w:val="22"/>
              </w:rPr>
              <w:t>Adj. EPS</w:t>
            </w:r>
          </w:p>
        </w:tc>
        <w:tc>
          <w:tcPr>
            <w:tcW w:type="dxa" w:w="1440"/>
          </w:tcPr>
          <w:p>
            <w:r>
              <w:rPr>
                <w:rFonts w:ascii="Calibri" w:hAnsi="Calibri"/>
                <w:sz w:val="22"/>
              </w:rPr>
              <w:t>$11.69</w:t>
            </w:r>
          </w:p>
        </w:tc>
        <w:tc>
          <w:tcPr>
            <w:tcW w:type="dxa" w:w="1440"/>
          </w:tcPr>
          <w:p>
            <w:r>
              <w:rPr>
                <w:rFonts w:ascii="Calibri" w:hAnsi="Calibri"/>
                <w:sz w:val="22"/>
              </w:rPr>
              <w:t>$11.55</w:t>
            </w:r>
          </w:p>
        </w:tc>
        <w:tc>
          <w:tcPr>
            <w:tcW w:type="dxa" w:w="1440"/>
          </w:tcPr>
          <w:p>
            <w:r>
              <w:rPr>
                <w:rFonts w:ascii="Calibri" w:hAnsi="Calibri"/>
                <w:b/>
                <w:color w:val="30A46C"/>
                <w:sz w:val="22"/>
              </w:rPr>
              <w:t>+1.2%</w:t>
            </w:r>
          </w:p>
        </w:tc>
        <w:tc>
          <w:tcPr>
            <w:tcW w:type="dxa" w:w="1440"/>
          </w:tcPr>
          <w:p>
            <w:r>
              <w:rPr>
                <w:rFonts w:ascii="Calibri" w:hAnsi="Calibri"/>
                <w:sz w:val="22"/>
              </w:rPr>
              <w:t>Beat</w:t>
            </w:r>
          </w:p>
        </w:tc>
      </w:tr>
      <w:tr>
        <w:tc>
          <w:tcPr>
            <w:tcW w:type="dxa" w:w="1440"/>
          </w:tcPr>
          <w:p>
            <w:r>
              <w:rPr>
                <w:rFonts w:ascii="Calibri" w:hAnsi="Calibri"/>
                <w:sz w:val="22"/>
              </w:rPr>
              <w:t>Q4 FY2026</w:t>
            </w:r>
          </w:p>
        </w:tc>
        <w:tc>
          <w:tcPr>
            <w:tcW w:type="dxa" w:w="1440"/>
          </w:tcPr>
          <w:p>
            <w:r>
              <w:rPr>
                <w:rFonts w:ascii="Calibri" w:hAnsi="Calibri"/>
                <w:sz w:val="22"/>
              </w:rPr>
              <w:t>Oncology OP</w:t>
            </w:r>
          </w:p>
        </w:tc>
        <w:tc>
          <w:tcPr>
            <w:tcW w:type="dxa" w:w="1440"/>
          </w:tcPr>
          <w:p>
            <w:r>
              <w:rPr>
                <w:rFonts w:ascii="Calibri" w:hAnsi="Calibri"/>
                <w:sz w:val="22"/>
              </w:rPr>
              <w:t>$385M</w:t>
            </w:r>
          </w:p>
        </w:tc>
        <w:tc>
          <w:tcPr>
            <w:tcW w:type="dxa" w:w="1440"/>
          </w:tcPr>
          <w:p>
            <w:r>
              <w:rPr>
                <w:rFonts w:ascii="Calibri" w:hAnsi="Calibri"/>
                <w:sz w:val="22"/>
              </w:rPr>
              <w:t>$388M</w:t>
            </w:r>
          </w:p>
        </w:tc>
        <w:tc>
          <w:tcPr>
            <w:tcW w:type="dxa" w:w="1440"/>
          </w:tcPr>
          <w:p>
            <w:r>
              <w:rPr>
                <w:rFonts w:ascii="Calibri" w:hAnsi="Calibri"/>
                <w:b/>
                <w:color w:val="E5484D"/>
                <w:sz w:val="22"/>
              </w:rPr>
              <w:t>-0.8%</w:t>
            </w:r>
          </w:p>
        </w:tc>
        <w:tc>
          <w:tcPr>
            <w:tcW w:type="dxa" w:w="1440"/>
          </w:tcPr>
          <w:p>
            <w:r>
              <w:rPr>
                <w:rFonts w:ascii="Calibri" w:hAnsi="Calibri"/>
                <w:sz w:val="22"/>
              </w:rPr>
              <w:t>Slight Miss</w:t>
            </w:r>
          </w:p>
        </w:tc>
      </w:tr>
      <w:tr>
        <w:tc>
          <w:tcPr>
            <w:tcW w:type="dxa" w:w="1440"/>
          </w:tcPr>
          <w:p>
            <w:r>
              <w:rPr>
                <w:rFonts w:ascii="Calibri" w:hAnsi="Calibri"/>
                <w:sz w:val="22"/>
              </w:rPr>
              <w:t>Q3 FY2026</w:t>
            </w:r>
          </w:p>
        </w:tc>
        <w:tc>
          <w:tcPr>
            <w:tcW w:type="dxa" w:w="1440"/>
          </w:tcPr>
          <w:p>
            <w:r>
              <w:rPr>
                <w:rFonts w:ascii="Calibri" w:hAnsi="Calibri"/>
                <w:sz w:val="22"/>
              </w:rPr>
              <w:t>Adj. EPS</w:t>
            </w:r>
          </w:p>
        </w:tc>
        <w:tc>
          <w:tcPr>
            <w:tcW w:type="dxa" w:w="1440"/>
          </w:tcPr>
          <w:p>
            <w:r>
              <w:rPr>
                <w:rFonts w:ascii="Calibri" w:hAnsi="Calibri"/>
                <w:sz w:val="22"/>
              </w:rPr>
              <w:t>$9.34</w:t>
            </w:r>
          </w:p>
        </w:tc>
        <w:tc>
          <w:tcPr>
            <w:tcW w:type="dxa" w:w="1440"/>
          </w:tcPr>
          <w:p>
            <w:r>
              <w:rPr>
                <w:rFonts w:ascii="Calibri" w:hAnsi="Calibri"/>
                <w:sz w:val="22"/>
              </w:rPr>
              <w:t>$9.14</w:t>
            </w:r>
          </w:p>
        </w:tc>
        <w:tc>
          <w:tcPr>
            <w:tcW w:type="dxa" w:w="1440"/>
          </w:tcPr>
          <w:p>
            <w:r>
              <w:rPr>
                <w:rFonts w:ascii="Calibri" w:hAnsi="Calibri"/>
                <w:b/>
                <w:color w:val="30A46C"/>
                <w:sz w:val="22"/>
              </w:rPr>
              <w:t>+2.2%</w:t>
            </w:r>
          </w:p>
        </w:tc>
        <w:tc>
          <w:tcPr>
            <w:tcW w:type="dxa" w:w="1440"/>
          </w:tcPr>
          <w:p>
            <w:r>
              <w:rPr>
                <w:rFonts w:ascii="Calibri" w:hAnsi="Calibri"/>
                <w:sz w:val="22"/>
              </w:rPr>
              <w:t>Beat</w:t>
            </w:r>
          </w:p>
        </w:tc>
      </w:tr>
      <w:tr>
        <w:tc>
          <w:tcPr>
            <w:tcW w:type="dxa" w:w="1440"/>
          </w:tcPr>
          <w:p>
            <w:r>
              <w:rPr>
                <w:rFonts w:ascii="Calibri" w:hAnsi="Calibri"/>
                <w:sz w:val="22"/>
              </w:rPr>
              <w:t>Q3 FY2026</w:t>
            </w:r>
          </w:p>
        </w:tc>
        <w:tc>
          <w:tcPr>
            <w:tcW w:type="dxa" w:w="1440"/>
          </w:tcPr>
          <w:p>
            <w:r>
              <w:rPr>
                <w:rFonts w:ascii="Calibri" w:hAnsi="Calibri"/>
                <w:sz w:val="22"/>
              </w:rPr>
              <w:t>Oncology OP</w:t>
            </w:r>
          </w:p>
        </w:tc>
        <w:tc>
          <w:tcPr>
            <w:tcW w:type="dxa" w:w="1440"/>
          </w:tcPr>
          <w:p>
            <w:r>
              <w:rPr>
                <w:rFonts w:ascii="Calibri" w:hAnsi="Calibri"/>
                <w:sz w:val="22"/>
              </w:rPr>
              <w:t>$366M</w:t>
            </w:r>
          </w:p>
        </w:tc>
        <w:tc>
          <w:tcPr>
            <w:tcW w:type="dxa" w:w="1440"/>
          </w:tcPr>
          <w:p>
            <w:r>
              <w:rPr>
                <w:rFonts w:ascii="Calibri" w:hAnsi="Calibri"/>
                <w:sz w:val="22"/>
              </w:rPr>
              <w:t>$355M</w:t>
            </w:r>
          </w:p>
        </w:tc>
        <w:tc>
          <w:tcPr>
            <w:tcW w:type="dxa" w:w="1440"/>
          </w:tcPr>
          <w:p>
            <w:r>
              <w:rPr>
                <w:rFonts w:ascii="Calibri" w:hAnsi="Calibri"/>
                <w:b/>
                <w:color w:val="30A46C"/>
                <w:sz w:val="22"/>
              </w:rPr>
              <w:t>+3.1%</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Adj. EPS</w:t>
            </w:r>
          </w:p>
        </w:tc>
        <w:tc>
          <w:tcPr>
            <w:tcW w:type="dxa" w:w="1440"/>
          </w:tcPr>
          <w:p>
            <w:r>
              <w:rPr>
                <w:rFonts w:ascii="Calibri" w:hAnsi="Calibri"/>
                <w:sz w:val="22"/>
              </w:rPr>
              <w:t>$9.86</w:t>
            </w:r>
          </w:p>
        </w:tc>
        <w:tc>
          <w:tcPr>
            <w:tcW w:type="dxa" w:w="1440"/>
          </w:tcPr>
          <w:p>
            <w:r>
              <w:rPr>
                <w:rFonts w:ascii="Calibri" w:hAnsi="Calibri"/>
                <w:sz w:val="22"/>
              </w:rPr>
              <w:t>$9.02</w:t>
            </w:r>
          </w:p>
        </w:tc>
        <w:tc>
          <w:tcPr>
            <w:tcW w:type="dxa" w:w="1440"/>
          </w:tcPr>
          <w:p>
            <w:r>
              <w:rPr>
                <w:rFonts w:ascii="Calibri" w:hAnsi="Calibri"/>
                <w:b/>
                <w:color w:val="30A46C"/>
                <w:sz w:val="22"/>
              </w:rPr>
              <w:t>+9.3%</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Oncology OP</w:t>
            </w:r>
          </w:p>
        </w:tc>
        <w:tc>
          <w:tcPr>
            <w:tcW w:type="dxa" w:w="1440"/>
          </w:tcPr>
          <w:p>
            <w:r>
              <w:rPr>
                <w:rFonts w:ascii="Calibri" w:hAnsi="Calibri"/>
                <w:sz w:val="22"/>
              </w:rPr>
              <w:t>$397M</w:t>
            </w:r>
          </w:p>
        </w:tc>
        <w:tc>
          <w:tcPr>
            <w:tcW w:type="dxa" w:w="1440"/>
          </w:tcPr>
          <w:p>
            <w:r>
              <w:rPr>
                <w:rFonts w:ascii="Calibri" w:hAnsi="Calibri"/>
                <w:sz w:val="22"/>
              </w:rPr>
              <w:t>$359M</w:t>
            </w:r>
          </w:p>
        </w:tc>
        <w:tc>
          <w:tcPr>
            <w:tcW w:type="dxa" w:w="1440"/>
          </w:tcPr>
          <w:p>
            <w:r>
              <w:rPr>
                <w:rFonts w:ascii="Calibri" w:hAnsi="Calibri"/>
                <w:b/>
                <w:color w:val="30A46C"/>
                <w:sz w:val="22"/>
              </w:rPr>
              <w:t>+10.6%</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Adj. EPS</w:t>
            </w:r>
          </w:p>
        </w:tc>
        <w:tc>
          <w:tcPr>
            <w:tcW w:type="dxa" w:w="1440"/>
          </w:tcPr>
          <w:p>
            <w:r>
              <w:rPr>
                <w:rFonts w:ascii="Calibri" w:hAnsi="Calibri"/>
                <w:sz w:val="22"/>
              </w:rPr>
              <w:t>$8.26</w:t>
            </w:r>
          </w:p>
        </w:tc>
        <w:tc>
          <w:tcPr>
            <w:tcW w:type="dxa" w:w="1440"/>
          </w:tcPr>
          <w:p>
            <w:r>
              <w:rPr>
                <w:rFonts w:ascii="Calibri" w:hAnsi="Calibri"/>
                <w:sz w:val="22"/>
              </w:rPr>
              <w:t>$8.11</w:t>
            </w:r>
          </w:p>
        </w:tc>
        <w:tc>
          <w:tcPr>
            <w:tcW w:type="dxa" w:w="1440"/>
          </w:tcPr>
          <w:p>
            <w:r>
              <w:rPr>
                <w:rFonts w:ascii="Calibri" w:hAnsi="Calibri"/>
                <w:b/>
                <w:color w:val="30A46C"/>
                <w:sz w:val="22"/>
              </w:rPr>
              <w:t>+1.8%</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Oncology OP</w:t>
            </w:r>
          </w:p>
        </w:tc>
        <w:tc>
          <w:tcPr>
            <w:tcW w:type="dxa" w:w="1440"/>
          </w:tcPr>
          <w:p>
            <w:r>
              <w:rPr>
                <w:rFonts w:ascii="Calibri" w:hAnsi="Calibri"/>
                <w:sz w:val="22"/>
              </w:rPr>
              <w:t>$287M</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Q4 FY2025</w:t>
            </w:r>
          </w:p>
        </w:tc>
        <w:tc>
          <w:tcPr>
            <w:tcW w:type="dxa" w:w="1440"/>
          </w:tcPr>
          <w:p>
            <w:r>
              <w:rPr>
                <w:rFonts w:ascii="Calibri" w:hAnsi="Calibri"/>
                <w:sz w:val="22"/>
              </w:rPr>
              <w:t>Adj. EPS</w:t>
            </w:r>
          </w:p>
        </w:tc>
        <w:tc>
          <w:tcPr>
            <w:tcW w:type="dxa" w:w="1440"/>
          </w:tcPr>
          <w:p>
            <w:r>
              <w:rPr>
                <w:rFonts w:ascii="Calibri" w:hAnsi="Calibri"/>
                <w:sz w:val="22"/>
              </w:rPr>
              <w:t>$10.12</w:t>
            </w:r>
          </w:p>
        </w:tc>
        <w:tc>
          <w:tcPr>
            <w:tcW w:type="dxa" w:w="1440"/>
          </w:tcPr>
          <w:p>
            <w:r>
              <w:rPr>
                <w:rFonts w:ascii="Calibri" w:hAnsi="Calibri"/>
                <w:sz w:val="22"/>
              </w:rPr>
              <w:t>$9.83</w:t>
            </w:r>
          </w:p>
        </w:tc>
        <w:tc>
          <w:tcPr>
            <w:tcW w:type="dxa" w:w="1440"/>
          </w:tcPr>
          <w:p>
            <w:r>
              <w:rPr>
                <w:rFonts w:ascii="Calibri" w:hAnsi="Calibri"/>
                <w:b/>
                <w:color w:val="30A46C"/>
                <w:sz w:val="22"/>
              </w:rPr>
              <w:t>+2.9%</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Oncology OP</w:t>
            </w:r>
          </w:p>
        </w:tc>
        <w:tc>
          <w:tcPr>
            <w:tcW w:type="dxa" w:w="1440"/>
          </w:tcPr>
          <w:p>
            <w:r>
              <w:rPr>
                <w:rFonts w:ascii="Calibri" w:hAnsi="Calibri"/>
                <w:sz w:val="22"/>
              </w:rPr>
              <w:t>$252M</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FY2025</w:t>
            </w:r>
          </w:p>
        </w:tc>
        <w:tc>
          <w:tcPr>
            <w:tcW w:type="dxa" w:w="1440"/>
          </w:tcPr>
          <w:p>
            <w:r>
              <w:rPr>
                <w:rFonts w:ascii="Calibri" w:hAnsi="Calibri"/>
                <w:sz w:val="22"/>
              </w:rPr>
              <w:t>Adj. EPS</w:t>
            </w:r>
          </w:p>
        </w:tc>
        <w:tc>
          <w:tcPr>
            <w:tcW w:type="dxa" w:w="1440"/>
          </w:tcPr>
          <w:p>
            <w:r>
              <w:rPr>
                <w:rFonts w:ascii="Calibri" w:hAnsi="Calibri"/>
                <w:sz w:val="22"/>
              </w:rPr>
              <w:t>$8.03</w:t>
            </w:r>
          </w:p>
        </w:tc>
        <w:tc>
          <w:tcPr>
            <w:tcW w:type="dxa" w:w="1440"/>
          </w:tcPr>
          <w:p>
            <w:r>
              <w:rPr>
                <w:rFonts w:ascii="Calibri" w:hAnsi="Calibri"/>
                <w:sz w:val="22"/>
              </w:rPr>
              <w:t>$8.08</w:t>
            </w:r>
          </w:p>
        </w:tc>
        <w:tc>
          <w:tcPr>
            <w:tcW w:type="dxa" w:w="1440"/>
          </w:tcPr>
          <w:p>
            <w:r>
              <w:rPr>
                <w:rFonts w:ascii="Calibri" w:hAnsi="Calibri"/>
                <w:b/>
                <w:color w:val="E5484D"/>
                <w:sz w:val="22"/>
              </w:rPr>
              <w:t>-0.6%</w:t>
            </w:r>
          </w:p>
        </w:tc>
        <w:tc>
          <w:tcPr>
            <w:tcW w:type="dxa" w:w="1440"/>
          </w:tcPr>
          <w:p>
            <w:r>
              <w:rPr>
                <w:rFonts w:ascii="Calibri" w:hAnsi="Calibri"/>
                <w:sz w:val="22"/>
              </w:rPr>
              <w:t>Slight Miss</w:t>
            </w:r>
          </w:p>
        </w:tc>
      </w:tr>
      <w:tr>
        <w:tc>
          <w:tcPr>
            <w:tcW w:type="dxa" w:w="1440"/>
          </w:tcPr>
          <w:p>
            <w:r>
              <w:rPr>
                <w:rFonts w:ascii="Calibri" w:hAnsi="Calibri"/>
                <w:sz w:val="22"/>
              </w:rPr>
              <w:t>Q3 FY2025</w:t>
            </w:r>
          </w:p>
        </w:tc>
        <w:tc>
          <w:tcPr>
            <w:tcW w:type="dxa" w:w="1440"/>
          </w:tcPr>
          <w:p>
            <w:r>
              <w:rPr>
                <w:rFonts w:ascii="Calibri" w:hAnsi="Calibri"/>
                <w:sz w:val="22"/>
              </w:rPr>
              <w:t>Oncology OP</w:t>
            </w:r>
          </w:p>
        </w:tc>
        <w:tc>
          <w:tcPr>
            <w:tcW w:type="dxa" w:w="1440"/>
          </w:tcPr>
          <w:p>
            <w:r>
              <w:rPr>
                <w:rFonts w:ascii="Calibri" w:hAnsi="Calibri"/>
                <w:sz w:val="22"/>
              </w:rPr>
              <w:t>$233M</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MCK has beaten adjusted EPS consensus in 7 of the last 8 quarters, with the sole miss being a marginal -0.6% in Q3 FY2025; the Oncology segment has consistently beaten or met expectations in the quarters where VA consensus data is available, underscoring the reliability of that growth engine.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May 7 earnings call — no post-earnings revisions, pre-announcements, or 8-K updates have altered the FY2027 framework; management tone remains confident and the Medical-Surgical separation is progressing on schedule, which is the most significant post-earnings development.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7,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FY2027 Adjusted EPS</w:t>
            </w:r>
          </w:p>
        </w:tc>
        <w:tc>
          <w:tcPr>
            <w:tcW w:type="dxa" w:w="1728"/>
          </w:tcPr>
          <w:p>
            <w:r>
              <w:rPr>
                <w:rFonts w:ascii="Calibri" w:hAnsi="Calibri"/>
                <w:sz w:val="22"/>
              </w:rPr>
              <w:t>$43.80–$44.60 (midpoint $44.20); +12% to +14% YoY; +14% to +16% excl. one-time FY2026 items</w:t>
            </w:r>
          </w:p>
        </w:tc>
        <w:tc>
          <w:tcPr>
            <w:tcW w:type="dxa" w:w="1728"/>
          </w:tcPr>
          <w:p>
            <w:r>
              <w:rPr>
                <w:rFonts w:ascii="Calibri" w:hAnsi="Calibri"/>
                <w:sz w:val="22"/>
              </w:rPr>
              <w:t>—</w:t>
            </w:r>
          </w:p>
        </w:tc>
        <w:tc>
          <w:tcPr>
            <w:tcW w:type="dxa" w:w="1728"/>
          </w:tcPr>
          <w:p>
            <w:r>
              <w:rPr>
                <w:rFonts w:ascii="Calibri" w:hAnsi="Calibri"/>
                <w:sz w:val="22"/>
              </w:rPr>
              <w:t>$44.25</w:t>
            </w:r>
          </w:p>
        </w:tc>
        <w:tc>
          <w:tcPr>
            <w:tcW w:type="dxa" w:w="1728"/>
          </w:tcPr>
          <w:p>
            <w:r>
              <w:rPr>
                <w:rFonts w:ascii="Calibri" w:hAnsi="Calibri"/>
                <w:sz w:val="22"/>
              </w:rPr>
              <w:t>Unchanged; consensus sits at midpoint of guidance range</w:t>
            </w:r>
          </w:p>
        </w:tc>
      </w:tr>
      <w:tr>
        <w:tc>
          <w:tcPr>
            <w:tcW w:type="dxa" w:w="1728"/>
          </w:tcPr>
          <w:p>
            <w:r>
              <w:rPr>
                <w:rFonts w:ascii="Calibri" w:hAnsi="Calibri"/>
                <w:sz w:val="22"/>
              </w:rPr>
              <w:t>FY2027 Revenue Growth</w:t>
            </w:r>
          </w:p>
        </w:tc>
        <w:tc>
          <w:tcPr>
            <w:tcW w:type="dxa" w:w="1728"/>
          </w:tcPr>
          <w:p>
            <w:r>
              <w:rPr>
                <w:rFonts w:ascii="Calibri" w:hAnsi="Calibri"/>
                <w:sz w:val="22"/>
              </w:rPr>
              <w:t>+5% to +9% YoY</w:t>
            </w:r>
          </w:p>
        </w:tc>
        <w:tc>
          <w:tcPr>
            <w:tcW w:type="dxa" w:w="1728"/>
          </w:tcPr>
          <w:p>
            <w:r>
              <w:rPr>
                <w:rFonts w:ascii="Calibri" w:hAnsi="Calibri"/>
                <w:sz w:val="22"/>
              </w:rPr>
              <w:t>—</w:t>
            </w:r>
          </w:p>
        </w:tc>
        <w:tc>
          <w:tcPr>
            <w:tcW w:type="dxa" w:w="1728"/>
          </w:tcPr>
          <w:p>
            <w:r>
              <w:rPr>
                <w:rFonts w:ascii="Calibri" w:hAnsi="Calibri"/>
                <w:sz w:val="22"/>
              </w:rPr>
              <w:t>~+6.4% implied by $431.8B consensus</w:t>
            </w:r>
          </w:p>
        </w:tc>
        <w:tc>
          <w:tcPr>
            <w:tcW w:type="dxa" w:w="1728"/>
          </w:tcPr>
          <w:p>
            <w:r>
              <w:rPr>
                <w:rFonts w:ascii="Calibri" w:hAnsi="Calibri"/>
                <w:sz w:val="22"/>
              </w:rPr>
              <w:t>Unchanged; consensus within guide range</w:t>
            </w:r>
          </w:p>
        </w:tc>
      </w:tr>
      <w:tr>
        <w:tc>
          <w:tcPr>
            <w:tcW w:type="dxa" w:w="1728"/>
          </w:tcPr>
          <w:p>
            <w:r>
              <w:rPr>
                <w:rFonts w:ascii="Calibri" w:hAnsi="Calibri"/>
                <w:sz w:val="22"/>
              </w:rPr>
              <w:t>FY2027 Adjusted Operating Profit Growth</w:t>
            </w:r>
          </w:p>
        </w:tc>
        <w:tc>
          <w:tcPr>
            <w:tcW w:type="dxa" w:w="1728"/>
          </w:tcPr>
          <w:p>
            <w:r>
              <w:rPr>
                <w:rFonts w:ascii="Calibri" w:hAnsi="Calibri"/>
                <w:sz w:val="22"/>
              </w:rPr>
              <w:t>+8% to +12% YoY</w:t>
            </w:r>
          </w:p>
        </w:tc>
        <w:tc>
          <w:tcPr>
            <w:tcW w:type="dxa" w:w="1728"/>
          </w:tcPr>
          <w:p>
            <w:r>
              <w:rPr>
                <w:rFonts w:ascii="Calibri" w:hAnsi="Calibri"/>
                <w:sz w:val="22"/>
              </w:rPr>
              <w:t>—</w:t>
            </w:r>
          </w:p>
        </w:tc>
        <w:tc>
          <w:tcPr>
            <w:tcW w:type="dxa" w:w="1728"/>
          </w:tcPr>
          <w:p>
            <w:r>
              <w:rPr>
                <w:rFonts w:ascii="Calibri" w:hAnsi="Calibri"/>
                <w:sz w:val="22"/>
              </w:rPr>
              <w:t>N/A — not tracked directly in VA</w:t>
            </w:r>
          </w:p>
        </w:tc>
        <w:tc>
          <w:tcPr>
            <w:tcW w:type="dxa" w:w="1728"/>
          </w:tcPr>
          <w:p>
            <w:r>
              <w:rPr>
                <w:rFonts w:ascii="Calibri" w:hAnsi="Calibri"/>
                <w:sz w:val="22"/>
              </w:rPr>
              <w:t>Unchanged</w:t>
            </w:r>
          </w:p>
        </w:tc>
      </w:tr>
      <w:tr>
        <w:tc>
          <w:tcPr>
            <w:tcW w:type="dxa" w:w="1728"/>
          </w:tcPr>
          <w:p>
            <w:r>
              <w:rPr>
                <w:rFonts w:ascii="Calibri" w:hAnsi="Calibri"/>
                <w:sz w:val="22"/>
              </w:rPr>
              <w:t>Oncology &amp; Multispecialty OP Growth (FY2027)</w:t>
            </w:r>
          </w:p>
        </w:tc>
        <w:tc>
          <w:tcPr>
            <w:tcW w:type="dxa" w:w="1728"/>
          </w:tcPr>
          <w:p>
            <w:r>
              <w:rPr>
                <w:rFonts w:ascii="Calibri" w:hAnsi="Calibri"/>
                <w:sz w:val="22"/>
              </w:rPr>
              <w:t>+13.5% to +17.5% YoY</w:t>
            </w:r>
          </w:p>
        </w:tc>
        <w:tc>
          <w:tcPr>
            <w:tcW w:type="dxa" w:w="1728"/>
          </w:tcPr>
          <w:p>
            <w:r>
              <w:rPr>
                <w:rFonts w:ascii="Calibri" w:hAnsi="Calibri"/>
                <w:sz w:val="22"/>
              </w:rPr>
              <w:t>—</w:t>
            </w:r>
          </w:p>
        </w:tc>
        <w:tc>
          <w:tcPr>
            <w:tcW w:type="dxa" w:w="1728"/>
          </w:tcPr>
          <w:p>
            <w:r>
              <w:rPr>
                <w:rFonts w:ascii="Calibri" w:hAnsi="Calibri"/>
                <w:sz w:val="22"/>
              </w:rPr>
              <w:t>$1.664B FY2027 consensus</w:t>
            </w:r>
          </w:p>
        </w:tc>
        <w:tc>
          <w:tcPr>
            <w:tcW w:type="dxa" w:w="1728"/>
          </w:tcPr>
          <w:p>
            <w:r>
              <w:rPr>
                <w:rFonts w:ascii="Calibri" w:hAnsi="Calibri"/>
                <w:sz w:val="22"/>
              </w:rPr>
              <w:t>Unchanged; consensus implies ~+13.5% YoY, at low end of guide</w:t>
            </w:r>
          </w:p>
        </w:tc>
      </w:tr>
      <w:tr>
        <w:tc>
          <w:tcPr>
            <w:tcW w:type="dxa" w:w="1728"/>
          </w:tcPr>
          <w:p>
            <w:r>
              <w:rPr>
                <w:rFonts w:ascii="Calibri" w:hAnsi="Calibri"/>
                <w:sz w:val="22"/>
              </w:rPr>
              <w:t>North American Pharma OP Growth (FY2027)</w:t>
            </w:r>
          </w:p>
        </w:tc>
        <w:tc>
          <w:tcPr>
            <w:tcW w:type="dxa" w:w="1728"/>
          </w:tcPr>
          <w:p>
            <w:r>
              <w:rPr>
                <w:rFonts w:ascii="Calibri" w:hAnsi="Calibri"/>
                <w:sz w:val="22"/>
              </w:rPr>
              <w:t>+5.5% to +9.5% YoY</w:t>
            </w:r>
          </w:p>
        </w:tc>
        <w:tc>
          <w:tcPr>
            <w:tcW w:type="dxa" w:w="1728"/>
          </w:tcPr>
          <w:p>
            <w:r>
              <w:rPr>
                <w:rFonts w:ascii="Calibri" w:hAnsi="Calibri"/>
                <w:sz w:val="22"/>
              </w:rPr>
              <w:t>—</w:t>
            </w:r>
          </w:p>
        </w:tc>
        <w:tc>
          <w:tcPr>
            <w:tcW w:type="dxa" w:w="1728"/>
          </w:tcPr>
          <w:p>
            <w:r>
              <w:rPr>
                <w:rFonts w:ascii="Calibri" w:hAnsi="Calibri"/>
                <w:sz w:val="22"/>
              </w:rPr>
              <w:t>$3.725B FY2027 consensus</w:t>
            </w:r>
          </w:p>
        </w:tc>
        <w:tc>
          <w:tcPr>
            <w:tcW w:type="dxa" w:w="1728"/>
          </w:tcPr>
          <w:p>
            <w:r>
              <w:rPr>
                <w:rFonts w:ascii="Calibri" w:hAnsi="Calibri"/>
                <w:sz w:val="22"/>
              </w:rPr>
              <w:t>Unchanged; consensus implies ~+7.5% YoY, within guide range</w:t>
            </w:r>
          </w:p>
        </w:tc>
      </w:tr>
      <w:tr>
        <w:tc>
          <w:tcPr>
            <w:tcW w:type="dxa" w:w="1728"/>
          </w:tcPr>
          <w:p>
            <w:r>
              <w:rPr>
                <w:rFonts w:ascii="Calibri" w:hAnsi="Calibri"/>
                <w:sz w:val="22"/>
              </w:rPr>
              <w:t>RxTS OP Growth (FY2027)</w:t>
            </w:r>
          </w:p>
        </w:tc>
        <w:tc>
          <w:tcPr>
            <w:tcW w:type="dxa" w:w="1728"/>
          </w:tcPr>
          <w:p>
            <w:r>
              <w:rPr>
                <w:rFonts w:ascii="Calibri" w:hAnsi="Calibri"/>
                <w:sz w:val="22"/>
              </w:rPr>
              <w:t>+11% to +15% YoY</w:t>
            </w:r>
          </w:p>
        </w:tc>
        <w:tc>
          <w:tcPr>
            <w:tcW w:type="dxa" w:w="1728"/>
          </w:tcPr>
          <w:p>
            <w:r>
              <w:rPr>
                <w:rFonts w:ascii="Calibri" w:hAnsi="Calibri"/>
                <w:sz w:val="22"/>
              </w:rPr>
              <w:t>—</w:t>
            </w:r>
          </w:p>
        </w:tc>
        <w:tc>
          <w:tcPr>
            <w:tcW w:type="dxa" w:w="1728"/>
          </w:tcPr>
          <w:p>
            <w:r>
              <w:rPr>
                <w:rFonts w:ascii="Calibri" w:hAnsi="Calibri"/>
                <w:sz w:val="22"/>
              </w:rPr>
              <w:t>$1.268B FY2027 consensus</w:t>
            </w:r>
          </w:p>
        </w:tc>
        <w:tc>
          <w:tcPr>
            <w:tcW w:type="dxa" w:w="1728"/>
          </w:tcPr>
          <w:p>
            <w:r>
              <w:rPr>
                <w:rFonts w:ascii="Calibri" w:hAnsi="Calibri"/>
                <w:sz w:val="22"/>
              </w:rPr>
              <w:t>Unchanged; consensus implies ~+11.5% YoY, at low end of guide</w:t>
            </w:r>
          </w:p>
        </w:tc>
      </w:tr>
      <w:tr>
        <w:tc>
          <w:tcPr>
            <w:tcW w:type="dxa" w:w="1728"/>
          </w:tcPr>
          <w:p>
            <w:r>
              <w:rPr>
                <w:rFonts w:ascii="Calibri" w:hAnsi="Calibri"/>
                <w:sz w:val="22"/>
              </w:rPr>
              <w:t>FY2027 Free Cash Flow</w:t>
            </w:r>
          </w:p>
        </w:tc>
        <w:tc>
          <w:tcPr>
            <w:tcW w:type="dxa" w:w="1728"/>
          </w:tcPr>
          <w:p>
            <w:r>
              <w:rPr>
                <w:rFonts w:ascii="Calibri" w:hAnsi="Calibri"/>
                <w:sz w:val="22"/>
              </w:rPr>
              <w:t>$4.5B–$4.9B</w:t>
            </w:r>
          </w:p>
        </w:tc>
        <w:tc>
          <w:tcPr>
            <w:tcW w:type="dxa" w:w="1728"/>
          </w:tcPr>
          <w:p>
            <w:r>
              <w:rPr>
                <w:rFonts w:ascii="Calibri" w:hAnsi="Calibri"/>
                <w:sz w:val="22"/>
              </w:rPr>
              <w:t>—</w:t>
            </w:r>
          </w:p>
        </w:tc>
        <w:tc>
          <w:tcPr>
            <w:tcW w:type="dxa" w:w="1728"/>
          </w:tcPr>
          <w:p>
            <w:r>
              <w:rPr>
                <w:rFonts w:ascii="Calibri" w:hAnsi="Calibri"/>
                <w:sz w:val="22"/>
              </w:rPr>
              <w:t>$4.576B</w:t>
            </w:r>
          </w:p>
        </w:tc>
        <w:tc>
          <w:tcPr>
            <w:tcW w:type="dxa" w:w="1728"/>
          </w:tcPr>
          <w:p>
            <w:r>
              <w:rPr>
                <w:rFonts w:ascii="Calibri" w:hAnsi="Calibri"/>
                <w:sz w:val="22"/>
              </w:rPr>
              <w:t>Unchanged; consensus at low end of guide range</w:t>
            </w:r>
          </w:p>
        </w:tc>
      </w:tr>
      <w:tr>
        <w:tc>
          <w:tcPr>
            <w:tcW w:type="dxa" w:w="1728"/>
          </w:tcPr>
          <w:p>
            <w:r>
              <w:rPr>
                <w:rFonts w:ascii="Calibri" w:hAnsi="Calibri"/>
                <w:sz w:val="22"/>
              </w:rPr>
              <w:t>Share Repurchases (FY2027)</w:t>
            </w:r>
          </w:p>
        </w:tc>
        <w:tc>
          <w:tcPr>
            <w:tcW w:type="dxa" w:w="1728"/>
          </w:tcPr>
          <w:p>
            <w:r>
              <w:rPr>
                <w:rFonts w:ascii="Calibri" w:hAnsi="Calibri"/>
                <w:sz w:val="22"/>
              </w:rPr>
              <w:t>~$5B planned, accelerated by Med-Surg financing proceeds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$2.25B Term B Loan closed June 9, 2026 (8-K) to fund Med-Surg separation and buybacks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post-print baseline — FY2027 EPS consensus has barely moved (-0.04%) and Q1 FY2027 EPS is essentially flat — suggesting the Street is comfortable with management's guidance framework and not building in incremental risk or upside; the slight downward drift in Q1 EPS (from $9.64 to $9.55) likely reflects seasonal cadence modeling rather than fundamental concern.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Last Earnings (as of May 12,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7, 2026)</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Q1 FY2027</w:t>
            </w:r>
          </w:p>
        </w:tc>
        <w:tc>
          <w:tcPr>
            <w:tcW w:type="dxa" w:w="1080"/>
          </w:tcPr>
          <w:p>
            <w:r>
              <w:rPr>
                <w:rFonts w:ascii="Calibri" w:hAnsi="Calibri"/>
                <w:sz w:val="22"/>
              </w:rPr>
              <w:t>$9.64</w:t>
            </w:r>
          </w:p>
        </w:tc>
        <w:tc>
          <w:tcPr>
            <w:tcW w:type="dxa" w:w="1080"/>
          </w:tcPr>
          <w:p>
            <w:r>
              <w:rPr>
                <w:rFonts w:ascii="Calibri" w:hAnsi="Calibri"/>
                <w:sz w:val="22"/>
              </w:rPr>
              <w:t>$9.55</w:t>
            </w:r>
          </w:p>
        </w:tc>
        <w:tc>
          <w:tcPr>
            <w:tcW w:type="dxa" w:w="1080"/>
          </w:tcPr>
          <w:p>
            <w:r>
              <w:rPr>
                <w:rFonts w:ascii="Calibri" w:hAnsi="Calibri"/>
                <w:sz w:val="22"/>
              </w:rPr>
              <w:t>-0.9%</w:t>
            </w:r>
          </w:p>
        </w:tc>
        <w:tc>
          <w:tcPr>
            <w:tcW w:type="dxa" w:w="1080"/>
          </w:tcPr>
          <w:p>
            <w:r>
              <w:rPr>
                <w:rFonts w:ascii="Calibri" w:hAnsi="Calibri"/>
                <w:sz w:val="22"/>
              </w:rPr>
              <w:t>N/A (FY guide only)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FY2027</w:t>
            </w:r>
          </w:p>
        </w:tc>
        <w:tc>
          <w:tcPr>
            <w:tcW w:type="dxa" w:w="1080"/>
          </w:tcPr>
          <w:p>
            <w:r>
              <w:rPr>
                <w:rFonts w:ascii="Calibri" w:hAnsi="Calibri"/>
                <w:sz w:val="22"/>
              </w:rPr>
              <w:t>$44.27</w:t>
            </w:r>
          </w:p>
        </w:tc>
        <w:tc>
          <w:tcPr>
            <w:tcW w:type="dxa" w:w="1080"/>
          </w:tcPr>
          <w:p>
            <w:r>
              <w:rPr>
                <w:rFonts w:ascii="Calibri" w:hAnsi="Calibri"/>
                <w:sz w:val="22"/>
              </w:rPr>
              <w:t>$44.25</w:t>
            </w:r>
          </w:p>
        </w:tc>
        <w:tc>
          <w:tcPr>
            <w:tcW w:type="dxa" w:w="1080"/>
          </w:tcPr>
          <w:p>
            <w:r>
              <w:rPr>
                <w:rFonts w:ascii="Calibri" w:hAnsi="Calibri"/>
                <w:sz w:val="22"/>
              </w:rPr>
              <w:t>-0.04%</w:t>
            </w:r>
          </w:p>
        </w:tc>
        <w:tc>
          <w:tcPr>
            <w:tcW w:type="dxa" w:w="1080"/>
          </w:tcPr>
          <w:p>
            <w:r>
              <w:rPr>
                <w:rFonts w:ascii="Calibri" w:hAnsi="Calibri"/>
                <w:sz w:val="22"/>
              </w:rPr>
              <w:t>$43.80–$44.60 (mid: $44.20)</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+0.1% above midpoint</w:t>
            </w:r>
          </w:p>
        </w:tc>
      </w:tr>
      <w:tr>
        <w:tc>
          <w:tcPr>
            <w:tcW w:type="dxa" w:w="1080"/>
          </w:tcPr>
          <w:p>
            <w:r>
              <w:rPr>
                <w:rFonts w:ascii="Calibri" w:hAnsi="Calibri"/>
                <w:sz w:val="22"/>
              </w:rPr>
              <w:t>Revenue — Q1 FY2027</w:t>
            </w:r>
          </w:p>
        </w:tc>
        <w:tc>
          <w:tcPr>
            <w:tcW w:type="dxa" w:w="1080"/>
          </w:tcPr>
          <w:p>
            <w:r>
              <w:rPr>
                <w:rFonts w:ascii="Calibri" w:hAnsi="Calibri"/>
                <w:sz w:val="22"/>
              </w:rPr>
              <w:t>$104.6B</w:t>
            </w:r>
          </w:p>
        </w:tc>
        <w:tc>
          <w:tcPr>
            <w:tcW w:type="dxa" w:w="1080"/>
          </w:tcPr>
          <w:p>
            <w:r>
              <w:rPr>
                <w:rFonts w:ascii="Calibri" w:hAnsi="Calibri"/>
                <w:sz w:val="22"/>
              </w:rPr>
              <w:t>$104.1B</w:t>
            </w:r>
          </w:p>
        </w:tc>
        <w:tc>
          <w:tcPr>
            <w:tcW w:type="dxa" w:w="1080"/>
          </w:tcPr>
          <w:p>
            <w:r>
              <w:rPr>
                <w:rFonts w:ascii="Calibri" w:hAnsi="Calibri"/>
                <w:sz w:val="22"/>
              </w:rPr>
              <w:t>-0.4%</w:t>
            </w:r>
          </w:p>
        </w:tc>
        <w:tc>
          <w:tcPr>
            <w:tcW w:type="dxa" w:w="1080"/>
          </w:tcPr>
          <w:p>
            <w:r>
              <w:rPr>
                <w:rFonts w:ascii="Calibri" w:hAnsi="Calibri"/>
                <w:sz w:val="22"/>
              </w:rPr>
              <w:t>N/A (FY guide only)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FY2027</w:t>
            </w:r>
          </w:p>
        </w:tc>
        <w:tc>
          <w:tcPr>
            <w:tcW w:type="dxa" w:w="1080"/>
          </w:tcPr>
          <w:p>
            <w:r>
              <w:rPr>
                <w:rFonts w:ascii="Calibri" w:hAnsi="Calibri"/>
                <w:sz w:val="22"/>
              </w:rPr>
              <w:t>$432.3B</w:t>
            </w:r>
          </w:p>
        </w:tc>
        <w:tc>
          <w:tcPr>
            <w:tcW w:type="dxa" w:w="1080"/>
          </w:tcPr>
          <w:p>
            <w:r>
              <w:rPr>
                <w:rFonts w:ascii="Calibri" w:hAnsi="Calibri"/>
                <w:sz w:val="22"/>
              </w:rPr>
              <w:t>$431.8B</w:t>
            </w:r>
          </w:p>
        </w:tc>
        <w:tc>
          <w:tcPr>
            <w:tcW w:type="dxa" w:w="1080"/>
          </w:tcPr>
          <w:p>
            <w:r>
              <w:rPr>
                <w:rFonts w:ascii="Calibri" w:hAnsi="Calibri"/>
                <w:sz w:val="22"/>
              </w:rPr>
              <w:t>-0.1%</w:t>
            </w:r>
          </w:p>
        </w:tc>
        <w:tc>
          <w:tcPr>
            <w:tcW w:type="dxa" w:w="1080"/>
          </w:tcPr>
          <w:p>
            <w:r>
              <w:rPr>
                <w:rFonts w:ascii="Calibri" w:hAnsi="Calibri"/>
                <w:sz w:val="22"/>
              </w:rPr>
              <w:t>+5% to +9% YoY</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~+6.4% YoY; within guide range</w:t>
            </w:r>
          </w:p>
        </w:tc>
      </w:tr>
      <w:tr>
        <w:tc>
          <w:tcPr>
            <w:tcW w:type="dxa" w:w="1080"/>
          </w:tcPr>
          <w:p>
            <w:r>
              <w:rPr>
                <w:rFonts w:ascii="Calibri" w:hAnsi="Calibri"/>
                <w:sz w:val="22"/>
              </w:rPr>
              <w:t>Oncology &amp; Multispecialty OP — Q1 FY2027</w:t>
            </w:r>
          </w:p>
        </w:tc>
        <w:tc>
          <w:tcPr>
            <w:tcW w:type="dxa" w:w="1080"/>
          </w:tcPr>
          <w:p>
            <w:r>
              <w:rPr>
                <w:rFonts w:ascii="Calibri" w:hAnsi="Calibri"/>
                <w:sz w:val="22"/>
              </w:rPr>
              <w:t>$372M</w:t>
            </w:r>
          </w:p>
        </w:tc>
        <w:tc>
          <w:tcPr>
            <w:tcW w:type="dxa" w:w="1080"/>
          </w:tcPr>
          <w:p>
            <w:r>
              <w:rPr>
                <w:rFonts w:ascii="Calibri" w:hAnsi="Calibri"/>
                <w:sz w:val="22"/>
              </w:rPr>
              <w:t>$375M</w:t>
            </w:r>
          </w:p>
        </w:tc>
        <w:tc>
          <w:tcPr>
            <w:tcW w:type="dxa" w:w="1080"/>
          </w:tcPr>
          <w:p>
            <w:r>
              <w:rPr>
                <w:rFonts w:ascii="Calibri" w:hAnsi="Calibri"/>
                <w:sz w:val="22"/>
              </w:rPr>
              <w:t>+0.9%</w:t>
            </w:r>
          </w:p>
        </w:tc>
        <w:tc>
          <w:tcPr>
            <w:tcW w:type="dxa" w:w="1080"/>
          </w:tcPr>
          <w:p>
            <w:r>
              <w:rPr>
                <w:rFonts w:ascii="Calibri" w:hAnsi="Calibri"/>
                <w:sz w:val="22"/>
              </w:rPr>
              <w:t>N/A (FY guide only)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Oncology &amp; Multispecialty OP — FY2027</w:t>
            </w:r>
          </w:p>
        </w:tc>
        <w:tc>
          <w:tcPr>
            <w:tcW w:type="dxa" w:w="1080"/>
          </w:tcPr>
          <w:p>
            <w:r>
              <w:rPr>
                <w:rFonts w:ascii="Calibri" w:hAnsi="Calibri"/>
                <w:sz w:val="22"/>
              </w:rPr>
              <w:t>$1.667B</w:t>
            </w:r>
          </w:p>
        </w:tc>
        <w:tc>
          <w:tcPr>
            <w:tcW w:type="dxa" w:w="1080"/>
          </w:tcPr>
          <w:p>
            <w:r>
              <w:rPr>
                <w:rFonts w:ascii="Calibri" w:hAnsi="Calibri"/>
                <w:sz w:val="22"/>
              </w:rPr>
              <w:t>$1.664B</w:t>
            </w:r>
          </w:p>
        </w:tc>
        <w:tc>
          <w:tcPr>
            <w:tcW w:type="dxa" w:w="1080"/>
          </w:tcPr>
          <w:p>
            <w:r>
              <w:rPr>
                <w:rFonts w:ascii="Calibri" w:hAnsi="Calibri"/>
                <w:sz w:val="22"/>
              </w:rPr>
              <w:t>-0.2%</w:t>
            </w:r>
          </w:p>
        </w:tc>
        <w:tc>
          <w:tcPr>
            <w:tcW w:type="dxa" w:w="1080"/>
          </w:tcPr>
          <w:p>
            <w:r>
              <w:rPr>
                <w:rFonts w:ascii="Calibri" w:hAnsi="Calibri"/>
                <w:sz w:val="22"/>
              </w:rPr>
              <w:t>+13.5% to +17.5% YoY</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~+13.5% YoY; at low end of guide</w:t>
            </w:r>
          </w:p>
        </w:tc>
      </w:tr>
    </w:tbl>
    <w:p>
      <w:r>
        <w:rPr>
          <w:rFonts w:ascii="Calibri" w:hAnsi="Calibri"/>
          <w:color w:val="525866"/>
          <w:sz w:val="22"/>
        </w:rPr>
        <w:t>Source: Visible Alpha consensus and actuals data. Post-earnings baseline uses consensus as of May 12, 2026 (5 trading days after May 7, 2026 earnings release). The near-zero revision delta across all KPIs confirms the Street is anchored to management's guidance framework with no material divergence — this is a cushion, not a risk, as it leaves room for upside if execution is clean.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MCK has rallied ~10% since the Q4 FY2026 earnings print (May 7, 2026) but has modestly lagged XLV (+12%), suggesting the stock's move has been driven primarily by sector-wide multiple expansion and healthcare sentiment rather than MCK-specific estimate revisions (which have been flat); the stock is not pricing in a beat, leaving asymmetric upside if Q1 execution is clean.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MCK vs. XLV (Health Care Select Sector SPDR) — Indexed to 100 at May 7, 2026 (Q4 FY2026 Earnings Date). Source: Yahoo Finance / Stock Price Data.</w:t>
      </w:r>
    </w:p>
    <w:p>
      <w:r>
        <w:rPr>
          <w:rFonts w:ascii="Calibri" w:hAnsi="Calibri"/>
          <w:b/>
          <w:color w:val="525866"/>
          <w:sz w:val="22"/>
        </w:rPr>
        <w:t xml:space="preserve">Key events since last earnings: </w:t>
      </w:r>
      <w:r>
        <w:rPr>
          <w:rFonts w:ascii="Calibri" w:hAnsi="Calibri"/>
          <w:color w:val="525866"/>
          <w:sz w:val="22"/>
        </w:rPr>
        <w:t>June 9, 2026 — $2.25B Term B Loan closed for Medical-Surgical separation (8-K); July 1, 2026 — EVP Chief Strategy Officer Thomas Rodgers retirement announced, Ramesh Srinivasan appointed successor (8-K); July 22, 2026 — Annual Shareholder Meeting, all directors re-elected (8-K). The stock's strongest single-day move in the period was around July 16–17, 2026, when MCK surged to ~$841 from ~$796, likely driven by broader healthcare sector rotation and positive macro sentiment.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post-earnings development is the successful closing of the $2.25B Term B Loan for the Medical-Surgical separation, which de-risks the capital structure and accelerates the ~$5B FY2027 share repurchase program — a direct EPS tailwind that the Street may be underweighting.</w:t>
      </w:r>
    </w:p>
    <w:p>
      <w:pPr>
        <w:pStyle w:val="ListBullet"/>
        <w:ind w:left="360" w:hanging="360"/>
      </w:pPr>
      <w:r>
        <w:rPr>
          <w:rFonts w:ascii="Calibri" w:hAnsi="Calibri"/>
          <w:b/>
          <w:color w:val="525866"/>
          <w:sz w:val="22"/>
        </w:rPr>
        <w:t xml:space="preserve">June 9, 2026 — $2.25B Term B Loan Facility Closed (8-K): </w:t>
      </w:r>
      <w:r>
        <w:rPr>
          <w:rFonts w:ascii="Calibri" w:hAnsi="Calibri"/>
          <w:color w:val="525866"/>
          <w:sz w:val="22"/>
        </w:rPr>
        <w:t xml:space="preserve">McKesson Medical-Surgical Top Holdings, Inc. closed a $2.25B senior secured Term B Loan due 2032 (SOFR + 2.25%), completing the stand-alone capital structure for the Medical-Surgical separation. Proceeds will be used to satisfy intercompany obligations with MCK parent and fund the ~$5B FY2027 share repurchase program. </w:t>
      </w:r>
      <w:r>
        <w:rPr>
          <w:rFonts w:ascii="Calibri" w:hAnsi="Calibri"/>
          <w:b/>
          <w:color w:val="525866"/>
          <w:sz w:val="22"/>
        </w:rPr>
        <w:t xml:space="preserve">Implication: </w:t>
      </w:r>
      <w:r>
        <w:rPr>
          <w:rFonts w:ascii="Calibri" w:hAnsi="Calibri"/>
          <w:color w:val="525866"/>
          <w:sz w:val="22"/>
        </w:rPr>
        <w:t>Accelerated buybacks are a direct EPS tailwind; weighted average diluted shares guided to 116–118M for FY2027.</w:t>
      </w:r>
    </w:p>
    <w:p>
      <w:pPr>
        <w:pStyle w:val="ListBullet"/>
        <w:ind w:left="360" w:hanging="360"/>
      </w:pPr>
      <w:r>
        <w:rPr>
          <w:rFonts w:ascii="Calibri" w:hAnsi="Calibri"/>
          <w:b/>
          <w:color w:val="525866"/>
          <w:sz w:val="22"/>
        </w:rPr>
        <w:t xml:space="preserve">July 1, 2026 — EVP Chief Strategy Officer Retirement, New Appointment (8-K): </w:t>
      </w:r>
      <w:r>
        <w:rPr>
          <w:rFonts w:ascii="Calibri" w:hAnsi="Calibri"/>
          <w:color w:val="525866"/>
          <w:sz w:val="22"/>
        </w:rPr>
        <w:t xml:space="preserve">Thomas L. Rodgers (EVP, Chief Strategy &amp; Business Development Officer) announced retirement effective August 1, 2026. Ramesh Srinivasan appointed as EVP, Chief Strategy Officer effective August 1, 2026. </w:t>
      </w:r>
      <w:r>
        <w:rPr>
          <w:rFonts w:ascii="Calibri" w:hAnsi="Calibri"/>
          <w:b/>
          <w:color w:val="525866"/>
          <w:sz w:val="22"/>
        </w:rPr>
        <w:t xml:space="preserve">Implication: </w:t>
      </w:r>
      <w:r>
        <w:rPr>
          <w:rFonts w:ascii="Calibri" w:hAnsi="Calibri"/>
          <w:color w:val="525866"/>
          <w:sz w:val="22"/>
        </w:rPr>
        <w:t>Orderly transition; no disruption to strategic priorities. Rodgers was a named executive officer, so the change is notable but management flagged it as planned.</w:t>
      </w:r>
    </w:p>
    <w:p>
      <w:pPr>
        <w:pStyle w:val="ListBullet"/>
        <w:ind w:left="360" w:hanging="360"/>
      </w:pPr>
      <w:r>
        <w:rPr>
          <w:rFonts w:ascii="Calibri" w:hAnsi="Calibri"/>
          <w:b/>
          <w:color w:val="525866"/>
          <w:sz w:val="22"/>
        </w:rPr>
        <w:t xml:space="preserve">July 22, 2026 — Annual Shareholder Meeting (8-K): </w:t>
      </w:r>
      <w:r>
        <w:rPr>
          <w:rFonts w:ascii="Calibri" w:hAnsi="Calibri"/>
          <w:color w:val="525866"/>
          <w:sz w:val="22"/>
        </w:rPr>
        <w:t xml:space="preserve">All 11 director nominees re-elected; Deloitte &amp; Touche LLP ratified as auditor for FY2027; executive compensation approved on advisory basis (86.6M for vs. 7.7M against). CEO Brian Tyler received the lowest "for" vote among directors (86.8M), though still a clear majority. </w:t>
      </w:r>
      <w:r>
        <w:rPr>
          <w:rFonts w:ascii="Calibri" w:hAnsi="Calibri"/>
          <w:b/>
          <w:color w:val="525866"/>
          <w:sz w:val="22"/>
        </w:rPr>
        <w:t xml:space="preserve">Implication: </w:t>
      </w:r>
      <w:r>
        <w:rPr>
          <w:rFonts w:ascii="Calibri" w:hAnsi="Calibri"/>
          <w:color w:val="525866"/>
          <w:sz w:val="22"/>
        </w:rPr>
        <w:t>No governance surprises; routine outcome.</w:t>
      </w:r>
    </w:p>
    <w:p>
      <w:pPr>
        <w:pStyle w:val="ListBullet"/>
        <w:ind w:left="360" w:hanging="360"/>
      </w:pPr>
      <w:r>
        <w:rPr>
          <w:rFonts w:ascii="Calibri" w:hAnsi="Calibri"/>
          <w:b/>
          <w:color w:val="525866"/>
          <w:sz w:val="22"/>
        </w:rPr>
        <w:t xml:space="preserve">May 29, 2026 — ASCO 2026 Research Presentation (Press Release): </w:t>
      </w:r>
      <w:r>
        <w:rPr>
          <w:rFonts w:ascii="Calibri" w:hAnsi="Calibri"/>
          <w:color w:val="525866"/>
          <w:sz w:val="22"/>
        </w:rPr>
        <w:t xml:space="preserve">The US Oncology Network presented research at ASCO 2026 demonstrating how community practices are expanding patient access through APP-led models. </w:t>
      </w:r>
      <w:r>
        <w:rPr>
          <w:rFonts w:ascii="Calibri" w:hAnsi="Calibri"/>
          <w:b/>
          <w:color w:val="525866"/>
          <w:sz w:val="22"/>
        </w:rPr>
        <w:t xml:space="preserve">Implication: </w:t>
      </w:r>
      <w:r>
        <w:rPr>
          <w:rFonts w:ascii="Calibri" w:hAnsi="Calibri"/>
          <w:color w:val="525866"/>
          <w:sz w:val="22"/>
        </w:rPr>
        <w:t>Reinforces the clinical and operational differentiation of the US Oncology Network, supporting the premium valuation of the Oncology &amp; Multispecialty segment.</w:t>
      </w:r>
    </w:p>
    <w:p>
      <w:pPr>
        <w:pStyle w:val="ListBullet"/>
        <w:ind w:left="360" w:hanging="360"/>
      </w:pPr>
      <w:r>
        <w:rPr>
          <w:rFonts w:ascii="Calibri" w:hAnsi="Calibri"/>
          <w:b/>
          <w:color w:val="525866"/>
          <w:sz w:val="22"/>
        </w:rPr>
        <w:t xml:space="preserve">GLP-1 Market Dynamics (Ongoing): </w:t>
      </w:r>
      <w:r>
        <w:rPr>
          <w:rFonts w:ascii="Calibri" w:hAnsi="Calibri"/>
          <w:color w:val="525866"/>
          <w:sz w:val="22"/>
        </w:rPr>
        <w:t xml:space="preserve">The U.S. GLP-1 obesity market reached an estimated $35B annualized run rate in Q1 2026, with tirzepatide (Zepbound) rapidly closing the market share gap with semaglutide (Wegovy). YoY prescription volume growth remains ~40% in new-to-brand prescriptions. Novo Nordisk reported Q2 2026 adjusted sales +7% at CER, driven by GLP-1 volume growth. </w:t>
      </w:r>
      <w:r>
        <w:rPr>
          <w:rFonts w:ascii="Calibri" w:hAnsi="Calibri"/>
          <w:b/>
          <w:color w:val="525866"/>
          <w:sz w:val="22"/>
        </w:rPr>
        <w:t xml:space="preserve">Implication: </w:t>
      </w:r>
      <w:r>
        <w:rPr>
          <w:rFonts w:ascii="Calibri" w:hAnsi="Calibri"/>
          <w:color w:val="525866"/>
          <w:sz w:val="22"/>
        </w:rPr>
        <w:t>Continued GLP-1 category growth is a distribution volume tailwind for MCK; the key question is whether Q1 FY2027 saw sequential recovery after Q4 FY2026's 4% sequential decline.</w:t>
      </w:r>
    </w:p>
    <w:p>
      <w:pPr>
        <w:pStyle w:val="ListBullet"/>
        <w:ind w:left="360" w:hanging="360"/>
      </w:pPr>
      <w:r>
        <w:rPr>
          <w:rFonts w:ascii="Calibri" w:hAnsi="Calibri"/>
          <w:b/>
          <w:color w:val="525866"/>
          <w:sz w:val="22"/>
        </w:rPr>
        <w:t xml:space="preserve">May 7, 2026 — CFO Transition: </w:t>
      </w:r>
      <w:r>
        <w:rPr>
          <w:rFonts w:ascii="Calibri" w:hAnsi="Calibri"/>
          <w:color w:val="525866"/>
          <w:sz w:val="22"/>
        </w:rPr>
        <w:t xml:space="preserve">Britt Vitalone retired after 20+ years (8+ as CFO); Kenny Cheung assumed CFO role effective May 29, 2026. Vitalone remains as strategic advisor supporting Medical-Surgical separation. </w:t>
      </w:r>
      <w:r>
        <w:rPr>
          <w:rFonts w:ascii="Calibri" w:hAnsi="Calibri"/>
          <w:b/>
          <w:color w:val="525866"/>
          <w:sz w:val="22"/>
        </w:rPr>
        <w:t xml:space="preserve">Implication: </w:t>
      </w:r>
      <w:r>
        <w:rPr>
          <w:rFonts w:ascii="Calibri" w:hAnsi="Calibri"/>
          <w:color w:val="525866"/>
          <w:sz w:val="22"/>
        </w:rPr>
        <w:t>Q1 FY2027 will be Kenny Cheung's first earnings call as CFO — investors will be listening for any change in tone or disclosure style.</w:t>
      </w:r>
    </w:p>
    <w:p>
      <w:pPr>
        <w:pStyle w:val="ListBullet"/>
        <w:ind w:left="360" w:hanging="360"/>
      </w:pPr>
      <w:r>
        <w:rPr>
          <w:rFonts w:ascii="Calibri" w:hAnsi="Calibri"/>
          <w:b/>
          <w:color w:val="525866"/>
          <w:sz w:val="22"/>
        </w:rPr>
        <w:t xml:space="preserve">IRA Branded Pricing Headwinds (Ongoing): </w:t>
      </w:r>
      <w:r>
        <w:rPr>
          <w:rFonts w:ascii="Calibri" w:hAnsi="Calibri"/>
          <w:color w:val="525866"/>
          <w:sz w:val="22"/>
        </w:rPr>
        <w:t xml:space="preserve">Management flagged that Q4 FY2026 saw the first wave of IRA-related branded pharmaceutical price declines, reducing revenue growth by ~3 percentage points with zero operating profit impact. Full-year FY2027 will lap these declines. </w:t>
      </w:r>
      <w:r>
        <w:rPr>
          <w:rFonts w:ascii="Calibri" w:hAnsi="Calibri"/>
          <w:b/>
          <w:color w:val="525866"/>
          <w:sz w:val="22"/>
        </w:rPr>
        <w:t xml:space="preserve">Implication: </w:t>
      </w:r>
      <w:r>
        <w:rPr>
          <w:rFonts w:ascii="Calibri" w:hAnsi="Calibri"/>
          <w:color w:val="525866"/>
          <w:sz w:val="22"/>
        </w:rPr>
        <w:t>Revenue will continue to be a noisy signal; operating profit is the right metric to watch.</w:t>
      </w:r>
    </w:p>
    <w:p>
      <w:r>
        <w:br w:type="page"/>
      </w:r>
    </w:p>
    <w:p>
      <w:pPr>
        <w:pStyle w:val="Heading2"/>
      </w:pPr>
      <w:r>
        <w:rPr>
          <w:rFonts w:ascii="Calibri" w:hAnsi="Calibri"/>
          <w:b/>
          <w:color w:val="3B4259"/>
          <w:sz w:val="28"/>
        </w:rPr>
        <w:t>7. Peer Commentaries — Read-Through</w:t>
      </w:r>
    </w:p>
    <w:p>
      <w:r>
        <w:rPr>
          <w:rFonts w:ascii="Calibri" w:hAnsi="Calibri"/>
          <w:b/>
          <w:color w:val="525866"/>
          <w:sz w:val="22"/>
        </w:rPr>
        <w:t xml:space="preserve">Key Takeaway: </w:t>
      </w:r>
      <w:r>
        <w:rPr>
          <w:rFonts w:ascii="Calibri" w:hAnsi="Calibri"/>
          <w:color w:val="525866"/>
          <w:sz w:val="22"/>
        </w:rPr>
        <w:t>Peer commentary from Cencora (COR) and Cardinal Health (CAH) at the Bank of America Global Healthcare Conference (May 13, 2026) — the most relevant post-MCK-earnings peer commentary covering the current reporting quarter — is broadly constructive for MCK: both peers confirmed IRA-related branded pricing declines have zero operating profit impact, specialty pharma volumes are strong, and oncology is a high-growth area, all of which directly validate MCK's FY2027 guidance framework.</w:t>
      </w:r>
    </w:p>
    <w:p>
      <w:r>
        <w:rPr>
          <w:rFonts w:ascii="Calibri" w:hAnsi="Calibri"/>
          <w:b/>
          <w:color w:val="525866"/>
          <w:sz w:val="22"/>
        </w:rPr>
        <w:t xml:space="preserve">Note on scope: </w:t>
      </w:r>
      <w:r>
        <w:rPr>
          <w:rFonts w:ascii="Calibri" w:hAnsi="Calibri"/>
          <w:color w:val="525866"/>
          <w:sz w:val="22"/>
        </w:rPr>
        <w:t>Only commentary from after MCK's last earnings (May 7, 2026) that speaks to current-quarter (Q1 FY2027, calendar Q2 2026) trends is included below. HSIC (Henry Schein) reported Q2 2026 earnings on August 4, 2026 but is primarily a dental/medical distribution company with limited read-through to MCK's pharmaceutical distribution and oncology businesses; key HSIC observations are noted where relevant.</w:t>
      </w:r>
    </w:p>
    <w:p>
      <w:pPr>
        <w:pStyle w:val="Heading3"/>
      </w:pPr>
      <w:r>
        <w:rPr>
          <w:rFonts w:ascii="Calibri" w:hAnsi="Calibri"/>
          <w:b/>
          <w:color w:val="3B4259"/>
          <w:sz w:val="24"/>
        </w:rPr>
        <w:t>Cencora (COR) — Bank of America Global Healthcare Conference, May 13,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COR Commentary</w:t>
            </w:r>
          </w:p>
        </w:tc>
        <w:tc>
          <w:tcPr>
            <w:tcW w:type="dxa" w:w="2880"/>
            <w:shd w:val="clear" w:color="auto" w:fill="3B4259"/>
          </w:tcPr>
          <w:p>
            <w:r>
              <w:rPr>
                <w:rFonts w:ascii="Calibri" w:hAnsi="Calibri"/>
                <w:b/>
                <w:color w:val="FFFFFF"/>
                <w:sz w:val="22"/>
              </w:rPr>
              <w:t>MCK Read-Through</w:t>
            </w:r>
          </w:p>
        </w:tc>
      </w:tr>
      <w:tr>
        <w:tc>
          <w:tcPr>
            <w:tcW w:type="dxa" w:w="2880"/>
          </w:tcPr>
          <w:p>
            <w:r>
              <w:rPr>
                <w:rFonts w:ascii="Calibri" w:hAnsi="Calibri"/>
                <w:sz w:val="22"/>
              </w:rPr>
              <w:t>IRA / Branded Pricing</w:t>
            </w:r>
          </w:p>
        </w:tc>
        <w:tc>
          <w:tcPr>
            <w:tcW w:type="dxa" w:w="2880"/>
          </w:tcPr>
          <w:p>
            <w:r>
              <w:rPr>
                <w:rFonts w:ascii="Calibri" w:hAnsi="Calibri"/>
                <w:sz w:val="22"/>
              </w:rPr>
              <w:t>IRA-related branded price declines "don't have an impact or a material impact on the income statement." Revenue line adjusts as WAC pricing comes down, but operating income is protected.</w:t>
            </w:r>
          </w:p>
        </w:tc>
        <w:tc>
          <w:tcPr>
            <w:tcW w:type="dxa" w:w="2880"/>
          </w:tcPr>
          <w:p>
            <w:r>
              <w:rPr>
                <w:rFonts w:ascii="Calibri" w:hAnsi="Calibri"/>
                <w:b/>
                <w:color w:val="30A46C"/>
                <w:sz w:val="22"/>
              </w:rPr>
              <w:t>Directly validates MCK's Q4 FY2026 messaging that IRA headwinds are revenue-only with zero OP impact. Reduces risk that MCK's Q1 FY2027 OP will be impaired by IRA.</w:t>
            </w:r>
          </w:p>
        </w:tc>
      </w:tr>
      <w:tr>
        <w:tc>
          <w:tcPr>
            <w:tcW w:type="dxa" w:w="2880"/>
          </w:tcPr>
          <w:p>
            <w:r>
              <w:rPr>
                <w:rFonts w:ascii="Calibri" w:hAnsi="Calibri"/>
                <w:sz w:val="22"/>
              </w:rPr>
              <w:t>Specialty Pharma Volumes</w:t>
            </w:r>
          </w:p>
        </w:tc>
        <w:tc>
          <w:tcPr>
            <w:tcW w:type="dxa" w:w="2880"/>
          </w:tcPr>
          <w:p>
            <w:r>
              <w:rPr>
                <w:rFonts w:ascii="Calibri" w:hAnsi="Calibri"/>
                <w:sz w:val="22"/>
              </w:rPr>
              <w:t>U.S. Healthcare Solutions AOI growth of 6% in Q2 FY2026 (9% normalized for weather/COVID headwinds). Specialty utilization trends are "the most important thing that moves us within that range." Expects growth rate to accelerate in H2 FY2026.</w:t>
            </w:r>
          </w:p>
        </w:tc>
        <w:tc>
          <w:tcPr>
            <w:tcW w:type="dxa" w:w="2880"/>
          </w:tcPr>
          <w:p>
            <w:r>
              <w:rPr>
                <w:rFonts w:ascii="Calibri" w:hAnsi="Calibri"/>
                <w:b/>
                <w:color w:val="30A46C"/>
                <w:sz w:val="22"/>
              </w:rPr>
              <w:t>Positive read-through: strong specialty utilization supports MCK's North American Pharma OP growth guide of +5.5% to +9.5%. Accelerating specialty volumes benefit MCK's scaled distribution position.</w:t>
            </w:r>
          </w:p>
        </w:tc>
      </w:tr>
      <w:tr>
        <w:tc>
          <w:tcPr>
            <w:tcW w:type="dxa" w:w="2880"/>
          </w:tcPr>
          <w:p>
            <w:r>
              <w:rPr>
                <w:rFonts w:ascii="Calibri" w:hAnsi="Calibri"/>
                <w:sz w:val="22"/>
              </w:rPr>
              <w:t>Oncology / MSO Growth</w:t>
            </w:r>
          </w:p>
        </w:tc>
        <w:tc>
          <w:tcPr>
            <w:tcW w:type="dxa" w:w="2880"/>
          </w:tcPr>
          <w:p>
            <w:r>
              <w:rPr>
                <w:rFonts w:ascii="Calibri" w:hAnsi="Calibri"/>
                <w:sz w:val="22"/>
              </w:rPr>
              <w:t>OneOncology integration progressing "very, very well"; expects growth to accelerate each quarter. Strong pipeline for tuck-in acquisitions in oncology. Loss of one oncology customer (acquired by competitor) will anniversary in Q4, providing a benefit.</w:t>
            </w:r>
          </w:p>
        </w:tc>
        <w:tc>
          <w:tcPr>
            <w:tcW w:type="dxa" w:w="2880"/>
          </w:tcPr>
          <w:p>
            <w:r>
              <w:rPr>
                <w:rFonts w:ascii="Calibri" w:hAnsi="Calibri"/>
                <w:b/>
                <w:color w:val="30A46C"/>
                <w:sz w:val="22"/>
              </w:rPr>
              <w:t>Broadly positive for MCK's Oncology &amp; Multispecialty segment, which added 570+ providers in FY2026. COR's accelerating oncology growth validates the structural tailwind for community oncology distribution.</w:t>
            </w:r>
          </w:p>
        </w:tc>
      </w:tr>
      <w:tr>
        <w:tc>
          <w:tcPr>
            <w:tcW w:type="dxa" w:w="2880"/>
          </w:tcPr>
          <w:p>
            <w:r>
              <w:rPr>
                <w:rFonts w:ascii="Calibri" w:hAnsi="Calibri"/>
                <w:sz w:val="22"/>
              </w:rPr>
              <w:t>Biosimilars</w:t>
            </w:r>
          </w:p>
        </w:tc>
        <w:tc>
          <w:tcPr>
            <w:tcW w:type="dxa" w:w="2880"/>
          </w:tcPr>
          <w:p>
            <w:r>
              <w:rPr>
                <w:rFonts w:ascii="Calibri" w:hAnsi="Calibri"/>
                <w:sz w:val="22"/>
              </w:rPr>
              <w:t>Faster-than-expected brand-to-biosimilar conversions (STELARA, Humira) significantly impact revenue but have "very, very small impact on operating income." Part B biosimilars are "absolutely a tailwind" for physician practices and distributors.</w:t>
            </w:r>
          </w:p>
        </w:tc>
        <w:tc>
          <w:tcPr>
            <w:tcW w:type="dxa" w:w="2880"/>
          </w:tcPr>
          <w:p>
            <w:r>
              <w:rPr>
                <w:rFonts w:ascii="Calibri" w:hAnsi="Calibri"/>
                <w:b/>
                <w:color w:val="30A46C"/>
                <w:sz w:val="22"/>
              </w:rPr>
              <w:t>Positive for MCK's US Oncology Network, which management has highlighted as particularly well-positioned for Part B biosimilar transitions given GPO network effects and ability to drive uniform adoption.</w:t>
            </w:r>
          </w:p>
        </w:tc>
      </w:tr>
      <w:tr>
        <w:tc>
          <w:tcPr>
            <w:tcW w:type="dxa" w:w="2880"/>
          </w:tcPr>
          <w:p>
            <w:r>
              <w:rPr>
                <w:rFonts w:ascii="Calibri" w:hAnsi="Calibri"/>
                <w:sz w:val="22"/>
              </w:rPr>
              <w:t>GLP-1 Volumes</w:t>
            </w:r>
          </w:p>
        </w:tc>
        <w:tc>
          <w:tcPr>
            <w:tcW w:type="dxa" w:w="2880"/>
          </w:tcPr>
          <w:p>
            <w:r>
              <w:rPr>
                <w:rFonts w:ascii="Calibri" w:hAnsi="Calibri"/>
                <w:sz w:val="22"/>
              </w:rPr>
              <w:t>GLP-1s "continue to grow, but they decelerated from the prior quarter." Still grew, contributing 6% to 11% overall pharma revenue growth.</w:t>
            </w:r>
          </w:p>
        </w:tc>
        <w:tc>
          <w:tcPr>
            <w:tcW w:type="dxa" w:w="2880"/>
          </w:tcPr>
          <w:p>
            <w:r>
              <w:rPr>
                <w:rFonts w:ascii="Calibri" w:hAnsi="Calibri"/>
                <w:sz w:val="22"/>
              </w:rPr>
              <w:t>Mixed: confirms GLP-1 growth continues but sequential deceleration is a sector-wide trend, not MCK-specific. Reduces risk that MCK's Q1 FY2027 GLP-1 volumes were uniquely weak.</w:t>
            </w:r>
          </w:p>
        </w:tc>
      </w:tr>
      <w:tr>
        <w:tc>
          <w:tcPr>
            <w:tcW w:type="dxa" w:w="2880"/>
          </w:tcPr>
          <w:p>
            <w:r>
              <w:rPr>
                <w:rFonts w:ascii="Calibri" w:hAnsi="Calibri"/>
                <w:sz w:val="22"/>
              </w:rPr>
              <w:t>Free Cash Flow / Capital Allocation</w:t>
            </w:r>
          </w:p>
        </w:tc>
        <w:tc>
          <w:tcPr>
            <w:tcW w:type="dxa" w:w="2880"/>
          </w:tcPr>
          <w:p>
            <w:r>
              <w:rPr>
                <w:rFonts w:ascii="Calibri" w:hAnsi="Calibri"/>
                <w:sz w:val="22"/>
              </w:rPr>
              <w:t>Confirmed FY2026 FCF guidance at $3B. Resuming share repurchases, targeting $1B by year-end. Views current share price as "opportune time" for buybacks.</w:t>
            </w:r>
          </w:p>
        </w:tc>
        <w:tc>
          <w:tcPr>
            <w:tcW w:type="dxa" w:w="2880"/>
          </w:tcPr>
          <w:p>
            <w:r>
              <w:rPr>
                <w:rFonts w:ascii="Calibri" w:hAnsi="Calibri"/>
                <w:sz w:val="22"/>
              </w:rPr>
              <w:t>Neutral to positive: confirms sector-wide capital return discipline. MCK's $5B buyback program is more aggressive and better funded via Med-Surg separation proceeds.</w:t>
            </w:r>
          </w:p>
        </w:tc>
      </w:tr>
    </w:tbl>
    <w:p>
      <w:pPr>
        <w:pStyle w:val="Heading3"/>
      </w:pPr>
      <w:r>
        <w:rPr>
          <w:rFonts w:ascii="Calibri" w:hAnsi="Calibri"/>
          <w:b/>
          <w:color w:val="3B4259"/>
          <w:sz w:val="24"/>
        </w:rPr>
        <w:t>Cardinal Health (CAH) — Bank of America Global Healthcare Conference, May 13,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CAH Commentary</w:t>
            </w:r>
          </w:p>
        </w:tc>
        <w:tc>
          <w:tcPr>
            <w:tcW w:type="dxa" w:w="2880"/>
            <w:shd w:val="clear" w:color="auto" w:fill="3B4259"/>
          </w:tcPr>
          <w:p>
            <w:r>
              <w:rPr>
                <w:rFonts w:ascii="Calibri" w:hAnsi="Calibri"/>
                <w:b/>
                <w:color w:val="FFFFFF"/>
                <w:sz w:val="22"/>
              </w:rPr>
              <w:t>MCK Read-Through</w:t>
            </w:r>
          </w:p>
        </w:tc>
      </w:tr>
      <w:tr>
        <w:tc>
          <w:tcPr>
            <w:tcW w:type="dxa" w:w="2880"/>
          </w:tcPr>
          <w:p>
            <w:r>
              <w:rPr>
                <w:rFonts w:ascii="Calibri" w:hAnsi="Calibri"/>
                <w:sz w:val="22"/>
              </w:rPr>
              <w:t>Pharma Distribution Demand</w:t>
            </w:r>
          </w:p>
        </w:tc>
        <w:tc>
          <w:tcPr>
            <w:tcW w:type="dxa" w:w="2880"/>
          </w:tcPr>
          <w:p>
            <w:r>
              <w:rPr>
                <w:rFonts w:ascii="Calibri" w:hAnsi="Calibri"/>
                <w:sz w:val="22"/>
              </w:rPr>
              <w:t>"Strong demand" across the portfolio. Pharma business delivered profit growth of 18%. Lapping $10B of new customer volume from prior year. "Momentum as we carry into our Q4, as we carry into next year."</w:t>
            </w:r>
          </w:p>
        </w:tc>
        <w:tc>
          <w:tcPr>
            <w:tcW w:type="dxa" w:w="2880"/>
          </w:tcPr>
          <w:p>
            <w:r>
              <w:rPr>
                <w:rFonts w:ascii="Calibri" w:hAnsi="Calibri"/>
                <w:b/>
                <w:color w:val="30A46C"/>
                <w:sz w:val="22"/>
              </w:rPr>
              <w:t>Strongly positive: broad-based pharma distribution demand is a sector tailwind. CAH's 18% pharma profit growth validates the operating leverage available in the distribution model, consistent with MCK's +5.5% to +9.5% North American Pharma OP guide.</w:t>
            </w:r>
          </w:p>
        </w:tc>
      </w:tr>
      <w:tr>
        <w:tc>
          <w:tcPr>
            <w:tcW w:type="dxa" w:w="2880"/>
          </w:tcPr>
          <w:p>
            <w:r>
              <w:rPr>
                <w:rFonts w:ascii="Calibri" w:hAnsi="Calibri"/>
                <w:sz w:val="22"/>
              </w:rPr>
              <w:t>IRA / Branded Pricing</w:t>
            </w:r>
          </w:p>
        </w:tc>
        <w:tc>
          <w:tcPr>
            <w:tcW w:type="dxa" w:w="2880"/>
          </w:tcPr>
          <w:p>
            <w:r>
              <w:rPr>
                <w:rFonts w:ascii="Calibri" w:hAnsi="Calibri"/>
                <w:sz w:val="22"/>
              </w:rPr>
              <w:t>"Revenue line adjusted as WAC pricing came down" with a 6% decline from WAC pricing adjustments. Delivered 18% pharma profit growth despite IRA impact. "Confident in connection with the IRA changes that will come in this next January as well."</w:t>
            </w:r>
          </w:p>
        </w:tc>
        <w:tc>
          <w:tcPr>
            <w:tcW w:type="dxa" w:w="2880"/>
          </w:tcPr>
          <w:p>
            <w:r>
              <w:rPr>
                <w:rFonts w:ascii="Calibri" w:hAnsi="Calibri"/>
                <w:b/>
                <w:color w:val="30A46C"/>
                <w:sz w:val="22"/>
              </w:rPr>
              <w:t>Directly validates MCK's IRA narrative: revenue headwind, zero OP impact. CAH's confidence in navigating future IRA waves reduces risk for MCK's FY2027 OP guidance.</w:t>
            </w:r>
          </w:p>
        </w:tc>
      </w:tr>
      <w:tr>
        <w:tc>
          <w:tcPr>
            <w:tcW w:type="dxa" w:w="2880"/>
          </w:tcPr>
          <w:p>
            <w:r>
              <w:rPr>
                <w:rFonts w:ascii="Calibri" w:hAnsi="Calibri"/>
                <w:sz w:val="22"/>
              </w:rPr>
              <w:t>Specialty Pharma</w:t>
            </w:r>
          </w:p>
        </w:tc>
        <w:tc>
          <w:tcPr>
            <w:tcW w:type="dxa" w:w="2880"/>
          </w:tcPr>
          <w:p>
            <w:r>
              <w:rPr>
                <w:rFonts w:ascii="Calibri" w:hAnsi="Calibri"/>
                <w:sz w:val="22"/>
              </w:rPr>
              <w:t>Specialty grew "more than 20% in the quarter and year-to-date." Sonexus (biopharma services hub) picked up Dupixent MyWay and "a couple of significant oncology platforms." Investing ahead of need in technology and process.</w:t>
            </w:r>
          </w:p>
        </w:tc>
        <w:tc>
          <w:tcPr>
            <w:tcW w:type="dxa" w:w="2880"/>
          </w:tcPr>
          <w:p>
            <w:r>
              <w:rPr>
                <w:rFonts w:ascii="Calibri" w:hAnsi="Calibri"/>
                <w:b/>
                <w:color w:val="30A46C"/>
                <w:sz w:val="22"/>
              </w:rPr>
              <w:t>Positive for MCK's RxTS segment: strong specialty pharma demand and biopharma services growth validates MCK's +11% to +15% RxTS OP growth guide. Competition for hub services is intensifying but market is growing fast.</w:t>
            </w:r>
          </w:p>
        </w:tc>
      </w:tr>
      <w:tr>
        <w:tc>
          <w:tcPr>
            <w:tcW w:type="dxa" w:w="2880"/>
          </w:tcPr>
          <w:p>
            <w:r>
              <w:rPr>
                <w:rFonts w:ascii="Calibri" w:hAnsi="Calibri"/>
                <w:sz w:val="22"/>
              </w:rPr>
              <w:t>Oncology</w:t>
            </w:r>
          </w:p>
        </w:tc>
        <w:tc>
          <w:tcPr>
            <w:tcW w:type="dxa" w:w="2880"/>
          </w:tcPr>
          <w:p>
            <w:r>
              <w:rPr>
                <w:rFonts w:ascii="Calibri" w:hAnsi="Calibri"/>
                <w:sz w:val="22"/>
              </w:rPr>
              <w:t>Oncology (ION/Navista platform) "grew 30% last quarter." Picked up additional oncology platforms for Sonexus. Investing in MSO integration (Solaris acquisition closed November 2025).</w:t>
            </w:r>
          </w:p>
        </w:tc>
        <w:tc>
          <w:tcPr>
            <w:tcW w:type="dxa" w:w="2880"/>
          </w:tcPr>
          <w:p>
            <w:r>
              <w:rPr>
                <w:rFonts w:ascii="Calibri" w:hAnsi="Calibri"/>
                <w:b/>
                <w:color w:val="30A46C"/>
                <w:sz w:val="22"/>
              </w:rPr>
              <w:t>Positive sector read-through: 30% oncology growth at CAH validates the structural tailwind for community oncology. MCK's US Oncology Network (3,300+ providers) is the market leader and should benefit from the same demand dynamics.</w:t>
            </w:r>
          </w:p>
        </w:tc>
      </w:tr>
      <w:tr>
        <w:tc>
          <w:tcPr>
            <w:tcW w:type="dxa" w:w="2880"/>
          </w:tcPr>
          <w:p>
            <w:r>
              <w:rPr>
                <w:rFonts w:ascii="Calibri" w:hAnsi="Calibri"/>
                <w:sz w:val="22"/>
              </w:rPr>
              <w:t>Biosimilars / LOE</w:t>
            </w:r>
          </w:p>
        </w:tc>
        <w:tc>
          <w:tcPr>
            <w:tcW w:type="dxa" w:w="2880"/>
          </w:tcPr>
          <w:p>
            <w:r>
              <w:rPr>
                <w:rFonts w:ascii="Calibri" w:hAnsi="Calibri"/>
                <w:sz w:val="22"/>
              </w:rPr>
              <w:t>LOE transitions from brand to generic are "favorable" and "actually more profitable for us on the generic side." Consistent market dynamics in generics.</w:t>
            </w:r>
          </w:p>
        </w:tc>
        <w:tc>
          <w:tcPr>
            <w:tcW w:type="dxa" w:w="2880"/>
          </w:tcPr>
          <w:p>
            <w:r>
              <w:rPr>
                <w:rFonts w:ascii="Calibri" w:hAnsi="Calibri"/>
                <w:sz w:val="22"/>
              </w:rPr>
              <w:t>Positive: confirms biosimilar/LOE transitions are margin-accretive for distributors, consistent with MCK's positioning on biosimilar transitions in the oncology channel.</w:t>
            </w:r>
          </w:p>
        </w:tc>
      </w:tr>
      <w:tr>
        <w:tc>
          <w:tcPr>
            <w:tcW w:type="dxa" w:w="2880"/>
          </w:tcPr>
          <w:p>
            <w:r>
              <w:rPr>
                <w:rFonts w:ascii="Calibri" w:hAnsi="Calibri"/>
                <w:sz w:val="22"/>
              </w:rPr>
              <w:t>GLP-1</w:t>
            </w:r>
          </w:p>
        </w:tc>
        <w:tc>
          <w:tcPr>
            <w:tcW w:type="dxa" w:w="2880"/>
          </w:tcPr>
          <w:p>
            <w:r>
              <w:rPr>
                <w:rFonts w:ascii="Calibri" w:hAnsi="Calibri"/>
                <w:sz w:val="22"/>
              </w:rPr>
              <w:t>GLP-1s "continue to grow, but they decelerated from the prior quarter." Contributed 6% to 11% pharma revenue growth. Still grew sequentially.</w:t>
            </w:r>
          </w:p>
        </w:tc>
        <w:tc>
          <w:tcPr>
            <w:tcW w:type="dxa" w:w="2880"/>
          </w:tcPr>
          <w:p>
            <w:r>
              <w:rPr>
                <w:rFonts w:ascii="Calibri" w:hAnsi="Calibri"/>
                <w:sz w:val="22"/>
              </w:rPr>
              <w:t>Consistent with COR: GLP-1 deceleration is sector-wide, not MCK-specific. Continued growth (even if slower) is a distribution volume tailwind.</w:t>
            </w:r>
          </w:p>
        </w:tc>
      </w:tr>
      <w:tr>
        <w:tc>
          <w:tcPr>
            <w:tcW w:type="dxa" w:w="2880"/>
          </w:tcPr>
          <w:p>
            <w:r>
              <w:rPr>
                <w:rFonts w:ascii="Calibri" w:hAnsi="Calibri"/>
                <w:sz w:val="22"/>
              </w:rPr>
              <w:t>FY2027 Outlook</w:t>
            </w:r>
          </w:p>
        </w:tc>
        <w:tc>
          <w:tcPr>
            <w:tcW w:type="dxa" w:w="2880"/>
          </w:tcPr>
          <w:p>
            <w:r>
              <w:rPr>
                <w:rFonts w:ascii="Calibri" w:hAnsi="Calibri"/>
                <w:sz w:val="22"/>
              </w:rPr>
              <w:t>Raised non-GAAP EPS guidance to $10.70–$10.80. Raised adjusted FCF guidance to $3.3B–$3.7B. "Trends are in our favor" for FY2027 LRP. Specific FY2027 guidance to be provided on August Q4 earnings call.</w:t>
            </w:r>
          </w:p>
        </w:tc>
        <w:tc>
          <w:tcPr>
            <w:tcW w:type="dxa" w:w="2880"/>
          </w:tcPr>
          <w:p>
            <w:r>
              <w:rPr>
                <w:rFonts w:ascii="Calibri" w:hAnsi="Calibri"/>
                <w:sz w:val="22"/>
              </w:rPr>
              <w:t>Positive sector sentiment: CAH's raised guidance and confident FY2027 tone validates the favorable demand environment that underpins MCK's FY2027 guidance framework.</w:t>
            </w:r>
          </w:p>
        </w:tc>
      </w:tr>
    </w:tbl>
    <w:p>
      <w:pPr>
        <w:pStyle w:val="Heading3"/>
      </w:pPr>
      <w:r>
        <w:rPr>
          <w:rFonts w:ascii="Calibri" w:hAnsi="Calibri"/>
          <w:b/>
          <w:color w:val="3B4259"/>
          <w:sz w:val="24"/>
        </w:rPr>
        <w:t>Henry Schein (HSIC) — Q2 2026 Earnings, August 4, 2026 (Limited Read-Through)</w:t>
      </w:r>
    </w:p>
    <w:p>
      <w:r>
        <w:rPr>
          <w:rFonts w:ascii="Calibri" w:hAnsi="Calibri"/>
          <w:color w:val="525866"/>
          <w:sz w:val="22"/>
        </w:rPr>
        <w:t>HSIC reported Q2 2026 earnings on August 4, 2026 (the day before MCK's print). HSIC is primarily a dental and medical distribution company with limited direct overlap with MCK's pharmaceutical distribution and oncology businesses. However, two observations are relevant:</w:t>
      </w:r>
    </w:p>
    <w:p>
      <w:pPr>
        <w:pStyle w:val="ListBullet"/>
        <w:ind w:left="360" w:hanging="360"/>
      </w:pPr>
      <w:r>
        <w:rPr>
          <w:rFonts w:ascii="Calibri" w:hAnsi="Calibri"/>
          <w:b/>
          <w:color w:val="525866"/>
          <w:sz w:val="22"/>
        </w:rPr>
        <w:t xml:space="preserve">Healthcare demand resilience: </w:t>
      </w:r>
      <w:r>
        <w:rPr>
          <w:rFonts w:ascii="Calibri" w:hAnsi="Calibri"/>
          <w:color w:val="525866"/>
          <w:sz w:val="22"/>
        </w:rPr>
        <w:t>HSIC reported internal local currency sales growth of 4.6%, non-GAAP EPS growth of 15.5%, and stated that markets are "stable and durable" with "good underlying fundamentals." Patient volumes were not materially impacted by higher oil prices. This broad healthcare demand resilience is a positive read-through for MCK's distribution volumes.</w:t>
      </w:r>
    </w:p>
    <w:p>
      <w:pPr>
        <w:pStyle w:val="ListBullet"/>
        <w:ind w:left="360" w:hanging="360"/>
      </w:pPr>
      <w:r>
        <w:rPr>
          <w:rFonts w:ascii="Calibri" w:hAnsi="Calibri"/>
          <w:b/>
          <w:color w:val="525866"/>
          <w:sz w:val="22"/>
        </w:rPr>
        <w:t xml:space="preserve">Operational leverage: </w:t>
      </w:r>
      <w:r>
        <w:rPr>
          <w:rFonts w:ascii="Calibri" w:hAnsi="Calibri"/>
          <w:color w:val="525866"/>
          <w:sz w:val="22"/>
        </w:rPr>
        <w:t>HSIC's non-GAAP operating margin expanded 25 bps YoY, driven by gross margin expansion across all segments. This confirms that healthcare distribution businesses can expand margins even in a moderately growing volume environment — consistent with MCK's operating leverage narrative.</w:t>
      </w:r>
    </w:p>
    <w:p>
      <w:pPr>
        <w:pStyle w:val="ListBullet"/>
        <w:ind w:left="360" w:hanging="360"/>
      </w:pPr>
      <w:r>
        <w:rPr>
          <w:rFonts w:ascii="Calibri" w:hAnsi="Calibri"/>
          <w:b/>
          <w:color w:val="525866"/>
          <w:sz w:val="22"/>
        </w:rPr>
        <w:t xml:space="preserve">No GLP-1 or pharma distribution commentary: </w:t>
      </w:r>
      <w:r>
        <w:rPr>
          <w:rFonts w:ascii="Calibri" w:hAnsi="Calibri"/>
          <w:color w:val="525866"/>
          <w:sz w:val="22"/>
        </w:rPr>
        <w:t>HSIC does not distribute GLP-1s or specialty pharmaceuticals in the same way as MCK, so there is no direct read-through on those key MCK metrics.</w:t>
      </w:r>
    </w:p>
    <w:p>
      <w:r>
        <w:rPr>
          <w:rFonts w:ascii="Calibri" w:hAnsi="Calibri"/>
          <w:color w:val="525866"/>
          <w:sz w:val="22"/>
        </w:rPr>
        <w:t>Sources: COR and CAH commentary from Bank of America Global Healthcare Conference transcripts (May 13, 2026). HSIC commentary from Q2 2026 Earnings Call transcript (August 4,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stand out as a meaningful signal — the dominant activity since the May 7 earnings print consists of routine equity award grants (code A) and tax-withholding dispositions (code F) tied to vesting events, plus CEO Brian Tyler's 10b5-1 planned sales which are pre-scheduled and non-discretionary; the absence of any open-market buying is neutral, not bearish.</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Brian S. Tyler</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8,463 shares</w:t>
            </w:r>
          </w:p>
        </w:tc>
        <w:tc>
          <w:tcPr>
            <w:tcW w:type="dxa" w:w="1440"/>
          </w:tcPr>
          <w:p>
            <w:r>
              <w:rPr>
                <w:rFonts w:ascii="Calibri" w:hAnsi="Calibri"/>
                <w:sz w:val="22"/>
              </w:rPr>
              <w:t>July 7, 2026</w:t>
            </w:r>
          </w:p>
        </w:tc>
        <w:tc>
          <w:tcPr>
            <w:tcW w:type="dxa" w:w="1440"/>
          </w:tcPr>
          <w:p>
            <w:r>
              <w:rPr>
                <w:rFonts w:ascii="Calibri" w:hAnsi="Calibri"/>
                <w:sz w:val="22"/>
              </w:rPr>
              <w:t>Pre-scheduled 10b5-1 plan sale; non-discretionary. Third consecutive monthly sale under same plan.</w:t>
            </w:r>
          </w:p>
        </w:tc>
      </w:tr>
      <w:tr>
        <w:tc>
          <w:tcPr>
            <w:tcW w:type="dxa" w:w="1440"/>
          </w:tcPr>
          <w:p>
            <w:r>
              <w:rPr>
                <w:rFonts w:ascii="Calibri" w:hAnsi="Calibri"/>
                <w:sz w:val="22"/>
              </w:rPr>
              <w:t>Brian S. Tyler</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8,463 shares</w:t>
            </w:r>
          </w:p>
        </w:tc>
        <w:tc>
          <w:tcPr>
            <w:tcW w:type="dxa" w:w="1440"/>
          </w:tcPr>
          <w:p>
            <w:r>
              <w:rPr>
                <w:rFonts w:ascii="Calibri" w:hAnsi="Calibri"/>
                <w:sz w:val="22"/>
              </w:rPr>
              <w:t>June 17, 2026</w:t>
            </w:r>
          </w:p>
        </w:tc>
        <w:tc>
          <w:tcPr>
            <w:tcW w:type="dxa" w:w="1440"/>
          </w:tcPr>
          <w:p>
            <w:r>
              <w:rPr>
                <w:rFonts w:ascii="Calibri" w:hAnsi="Calibri"/>
                <w:sz w:val="22"/>
              </w:rPr>
              <w:t>Pre-scheduled 10b5-1 plan sale; non-discretionary.</w:t>
            </w:r>
          </w:p>
        </w:tc>
      </w:tr>
      <w:tr>
        <w:tc>
          <w:tcPr>
            <w:tcW w:type="dxa" w:w="1440"/>
          </w:tcPr>
          <w:p>
            <w:r>
              <w:rPr>
                <w:rFonts w:ascii="Calibri" w:hAnsi="Calibri"/>
                <w:sz w:val="22"/>
              </w:rPr>
              <w:t>Brian S. Tyler</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4,929 shares</w:t>
            </w:r>
          </w:p>
        </w:tc>
        <w:tc>
          <w:tcPr>
            <w:tcW w:type="dxa" w:w="1440"/>
          </w:tcPr>
          <w:p>
            <w:r>
              <w:rPr>
                <w:rFonts w:ascii="Calibri" w:hAnsi="Calibri"/>
                <w:sz w:val="22"/>
              </w:rPr>
              <w:t>June 9, 2026</w:t>
            </w:r>
          </w:p>
        </w:tc>
        <w:tc>
          <w:tcPr>
            <w:tcW w:type="dxa" w:w="1440"/>
          </w:tcPr>
          <w:p>
            <w:r>
              <w:rPr>
                <w:rFonts w:ascii="Calibri" w:hAnsi="Calibri"/>
                <w:sz w:val="22"/>
              </w:rPr>
              <w:t>Pre-scheduled 10b5-1 plan sale; non-discretionary.</w:t>
            </w:r>
          </w:p>
        </w:tc>
      </w:tr>
      <w:tr>
        <w:tc>
          <w:tcPr>
            <w:tcW w:type="dxa" w:w="1440"/>
          </w:tcPr>
          <w:p>
            <w:r>
              <w:rPr>
                <w:rFonts w:ascii="Calibri" w:hAnsi="Calibri"/>
                <w:sz w:val="22"/>
              </w:rPr>
              <w:t>Michele Lau</w:t>
            </w:r>
          </w:p>
        </w:tc>
        <w:tc>
          <w:tcPr>
            <w:tcW w:type="dxa" w:w="1440"/>
          </w:tcPr>
          <w:p>
            <w:r>
              <w:rPr>
                <w:rFonts w:ascii="Calibri" w:hAnsi="Calibri"/>
                <w:sz w:val="22"/>
              </w:rPr>
              <w:t>EVP &amp; Chief Legal Officer</w:t>
            </w:r>
          </w:p>
        </w:tc>
        <w:tc>
          <w:tcPr>
            <w:tcW w:type="dxa" w:w="1440"/>
          </w:tcPr>
          <w:p>
            <w:r>
              <w:rPr>
                <w:rFonts w:ascii="Calibri" w:hAnsi="Calibri"/>
                <w:sz w:val="22"/>
              </w:rPr>
              <w:t>10b5-1 Planned Sale</w:t>
            </w:r>
          </w:p>
        </w:tc>
        <w:tc>
          <w:tcPr>
            <w:tcW w:type="dxa" w:w="1440"/>
          </w:tcPr>
          <w:p>
            <w:r>
              <w:rPr>
                <w:rFonts w:ascii="Calibri" w:hAnsi="Calibri"/>
                <w:sz w:val="22"/>
              </w:rPr>
              <w:t>3,550 shares</w:t>
            </w:r>
          </w:p>
        </w:tc>
        <w:tc>
          <w:tcPr>
            <w:tcW w:type="dxa" w:w="1440"/>
          </w:tcPr>
          <w:p>
            <w:r>
              <w:rPr>
                <w:rFonts w:ascii="Calibri" w:hAnsi="Calibri"/>
                <w:sz w:val="22"/>
              </w:rPr>
              <w:t>May 26, 2026</w:t>
            </w:r>
          </w:p>
        </w:tc>
        <w:tc>
          <w:tcPr>
            <w:tcW w:type="dxa" w:w="1440"/>
          </w:tcPr>
          <w:p>
            <w:r>
              <w:rPr>
                <w:rFonts w:ascii="Calibri" w:hAnsi="Calibri"/>
                <w:sz w:val="22"/>
              </w:rPr>
              <w:t>Pre-scheduled 10b5-1 plan sale; non-discretionary.</w:t>
            </w:r>
          </w:p>
        </w:tc>
      </w:tr>
      <w:tr>
        <w:tc>
          <w:tcPr>
            <w:tcW w:type="dxa" w:w="1440"/>
          </w:tcPr>
          <w:p>
            <w:r>
              <w:rPr>
                <w:rFonts w:ascii="Calibri" w:hAnsi="Calibri"/>
                <w:sz w:val="22"/>
              </w:rPr>
              <w:t>LeAnn B. Smith</w:t>
            </w:r>
          </w:p>
        </w:tc>
        <w:tc>
          <w:tcPr>
            <w:tcW w:type="dxa" w:w="1440"/>
          </w:tcPr>
          <w:p>
            <w:r>
              <w:rPr>
                <w:rFonts w:ascii="Calibri" w:hAnsi="Calibri"/>
                <w:sz w:val="22"/>
              </w:rPr>
              <w:t>EVP &amp; Chief HR Officer</w:t>
            </w:r>
          </w:p>
        </w:tc>
        <w:tc>
          <w:tcPr>
            <w:tcW w:type="dxa" w:w="1440"/>
          </w:tcPr>
          <w:p>
            <w:r>
              <w:rPr>
                <w:rFonts w:ascii="Calibri" w:hAnsi="Calibri"/>
                <w:sz w:val="22"/>
              </w:rPr>
              <w:t>10b5-1 Planned Sale</w:t>
            </w:r>
          </w:p>
        </w:tc>
        <w:tc>
          <w:tcPr>
            <w:tcW w:type="dxa" w:w="1440"/>
          </w:tcPr>
          <w:p>
            <w:r>
              <w:rPr>
                <w:rFonts w:ascii="Calibri" w:hAnsi="Calibri"/>
                <w:sz w:val="22"/>
              </w:rPr>
              <w:t>1,810 shares</w:t>
            </w:r>
          </w:p>
        </w:tc>
        <w:tc>
          <w:tcPr>
            <w:tcW w:type="dxa" w:w="1440"/>
          </w:tcPr>
          <w:p>
            <w:r>
              <w:rPr>
                <w:rFonts w:ascii="Calibri" w:hAnsi="Calibri"/>
                <w:sz w:val="22"/>
              </w:rPr>
              <w:t>June 1, 2026</w:t>
            </w:r>
          </w:p>
        </w:tc>
        <w:tc>
          <w:tcPr>
            <w:tcW w:type="dxa" w:w="1440"/>
          </w:tcPr>
          <w:p>
            <w:r>
              <w:rPr>
                <w:rFonts w:ascii="Calibri" w:hAnsi="Calibri"/>
                <w:sz w:val="22"/>
              </w:rPr>
              <w:t>Pre-scheduled 10b5-1 plan sale; non-discretionary.</w:t>
            </w:r>
          </w:p>
        </w:tc>
      </w:tr>
      <w:tr>
        <w:tc>
          <w:tcPr>
            <w:tcW w:type="dxa" w:w="1440"/>
          </w:tcPr>
          <w:p>
            <w:r>
              <w:rPr>
                <w:rFonts w:ascii="Calibri" w:hAnsi="Calibri"/>
                <w:sz w:val="22"/>
              </w:rPr>
              <w:t>Thomas L. Rodgers</w:t>
            </w:r>
          </w:p>
        </w:tc>
        <w:tc>
          <w:tcPr>
            <w:tcW w:type="dxa" w:w="1440"/>
          </w:tcPr>
          <w:p>
            <w:r>
              <w:rPr>
                <w:rFonts w:ascii="Calibri" w:hAnsi="Calibri"/>
                <w:sz w:val="22"/>
              </w:rPr>
              <w:t>EVP, Chief Strategy &amp; BDO (retiring Aug 1)</w:t>
            </w:r>
          </w:p>
        </w:tc>
        <w:tc>
          <w:tcPr>
            <w:tcW w:type="dxa" w:w="1440"/>
          </w:tcPr>
          <w:p>
            <w:r>
              <w:rPr>
                <w:rFonts w:ascii="Calibri" w:hAnsi="Calibri"/>
                <w:sz w:val="22"/>
              </w:rPr>
              <w:t>10b5-1 Planned Sale</w:t>
            </w:r>
          </w:p>
        </w:tc>
        <w:tc>
          <w:tcPr>
            <w:tcW w:type="dxa" w:w="1440"/>
          </w:tcPr>
          <w:p>
            <w:r>
              <w:rPr>
                <w:rFonts w:ascii="Calibri" w:hAnsi="Calibri"/>
                <w:sz w:val="22"/>
              </w:rPr>
              <w:t>123 shares</w:t>
            </w:r>
          </w:p>
        </w:tc>
        <w:tc>
          <w:tcPr>
            <w:tcW w:type="dxa" w:w="1440"/>
          </w:tcPr>
          <w:p>
            <w:r>
              <w:rPr>
                <w:rFonts w:ascii="Calibri" w:hAnsi="Calibri"/>
                <w:sz w:val="22"/>
              </w:rPr>
              <w:t>June 1, 2026</w:t>
            </w:r>
          </w:p>
        </w:tc>
        <w:tc>
          <w:tcPr>
            <w:tcW w:type="dxa" w:w="1440"/>
          </w:tcPr>
          <w:p>
            <w:r>
              <w:rPr>
                <w:rFonts w:ascii="Calibri" w:hAnsi="Calibri"/>
                <w:sz w:val="22"/>
              </w:rPr>
              <w:t>Pre-scheduled 10b5-1 plan sale; non-discretionary. Rodgers announced retirement June 29, 2026.</w:t>
            </w:r>
          </w:p>
        </w:tc>
      </w:tr>
      <w:tr>
        <w:tc>
          <w:tcPr>
            <w:tcW w:type="dxa" w:w="1440"/>
          </w:tcPr>
          <w:p>
            <w:r>
              <w:rPr>
                <w:rFonts w:ascii="Calibri" w:hAnsi="Calibri"/>
                <w:sz w:val="22"/>
              </w:rPr>
              <w:t>Napoleon B. Rutledge Jr.</w:t>
            </w:r>
          </w:p>
        </w:tc>
        <w:tc>
          <w:tcPr>
            <w:tcW w:type="dxa" w:w="1440"/>
          </w:tcPr>
          <w:p>
            <w:r>
              <w:rPr>
                <w:rFonts w:ascii="Calibri" w:hAnsi="Calibri"/>
                <w:sz w:val="22"/>
              </w:rPr>
              <w:t>SVP, Controller &amp; CAO</w:t>
            </w:r>
          </w:p>
        </w:tc>
        <w:tc>
          <w:tcPr>
            <w:tcW w:type="dxa" w:w="1440"/>
          </w:tcPr>
          <w:p>
            <w:r>
              <w:rPr>
                <w:rFonts w:ascii="Calibri" w:hAnsi="Calibri"/>
                <w:sz w:val="22"/>
              </w:rPr>
              <w:t>10b5-1 Planned Sale</w:t>
            </w:r>
          </w:p>
        </w:tc>
        <w:tc>
          <w:tcPr>
            <w:tcW w:type="dxa" w:w="1440"/>
          </w:tcPr>
          <w:p>
            <w:r>
              <w:rPr>
                <w:rFonts w:ascii="Calibri" w:hAnsi="Calibri"/>
                <w:sz w:val="22"/>
              </w:rPr>
              <w:t>133 shares</w:t>
            </w:r>
          </w:p>
        </w:tc>
        <w:tc>
          <w:tcPr>
            <w:tcW w:type="dxa" w:w="1440"/>
          </w:tcPr>
          <w:p>
            <w:r>
              <w:rPr>
                <w:rFonts w:ascii="Calibri" w:hAnsi="Calibri"/>
                <w:sz w:val="22"/>
              </w:rPr>
              <w:t>June 5, 2026</w:t>
            </w:r>
          </w:p>
        </w:tc>
        <w:tc>
          <w:tcPr>
            <w:tcW w:type="dxa" w:w="1440"/>
          </w:tcPr>
          <w:p>
            <w:r>
              <w:rPr>
                <w:rFonts w:ascii="Calibri" w:hAnsi="Calibri"/>
                <w:sz w:val="22"/>
              </w:rPr>
              <w:t>Pre-scheduled 10b5-1 plan sale; non-discretionary.</w:t>
            </w:r>
          </w:p>
        </w:tc>
      </w:tr>
      <w:tr>
        <w:tc>
          <w:tcPr>
            <w:tcW w:type="dxa" w:w="1440"/>
          </w:tcPr>
          <w:p>
            <w:r>
              <w:rPr>
                <w:rFonts w:ascii="Calibri" w:hAnsi="Calibri"/>
                <w:sz w:val="22"/>
              </w:rPr>
              <w:t>Kenny K. Cheung</w:t>
            </w:r>
          </w:p>
        </w:tc>
        <w:tc>
          <w:tcPr>
            <w:tcW w:type="dxa" w:w="1440"/>
          </w:tcPr>
          <w:p>
            <w:r>
              <w:rPr>
                <w:rFonts w:ascii="Calibri" w:hAnsi="Calibri"/>
                <w:sz w:val="22"/>
              </w:rPr>
              <w:t>EVP &amp; CFO (new)</w:t>
            </w:r>
          </w:p>
        </w:tc>
        <w:tc>
          <w:tcPr>
            <w:tcW w:type="dxa" w:w="1440"/>
          </w:tcPr>
          <w:p>
            <w:r>
              <w:rPr>
                <w:rFonts w:ascii="Calibri" w:hAnsi="Calibri"/>
                <w:sz w:val="22"/>
              </w:rPr>
              <w:t>Award Grant (RSUs)</w:t>
            </w:r>
          </w:p>
        </w:tc>
        <w:tc>
          <w:tcPr>
            <w:tcW w:type="dxa" w:w="1440"/>
          </w:tcPr>
          <w:p>
            <w:r>
              <w:rPr>
                <w:rFonts w:ascii="Calibri" w:hAnsi="Calibri"/>
                <w:sz w:val="22"/>
              </w:rPr>
              <w:t>11,101 RSUs</w:t>
            </w:r>
          </w:p>
        </w:tc>
        <w:tc>
          <w:tcPr>
            <w:tcW w:type="dxa" w:w="1440"/>
          </w:tcPr>
          <w:p>
            <w:r>
              <w:rPr>
                <w:rFonts w:ascii="Calibri" w:hAnsi="Calibri"/>
                <w:sz w:val="22"/>
              </w:rPr>
              <w:t>May 29, 2026</w:t>
            </w:r>
          </w:p>
        </w:tc>
        <w:tc>
          <w:tcPr>
            <w:tcW w:type="dxa" w:w="1440"/>
          </w:tcPr>
          <w:p>
            <w:r>
              <w:rPr>
                <w:rFonts w:ascii="Calibri" w:hAnsi="Calibri"/>
                <w:sz w:val="22"/>
              </w:rPr>
              <w:t>Equity award grant upon assuming CFO role; not a market transaction. Aligns new CFO's interests with shareholders.</w:t>
            </w:r>
          </w:p>
        </w:tc>
      </w:tr>
      <w:tr>
        <w:tc>
          <w:tcPr>
            <w:tcW w:type="dxa" w:w="1440"/>
          </w:tcPr>
          <w:p>
            <w:r>
              <w:rPr>
                <w:rFonts w:ascii="Calibri" w:hAnsi="Calibri"/>
                <w:sz w:val="22"/>
              </w:rPr>
              <w:t>Multiple Directors (10 individuals)</w:t>
            </w:r>
          </w:p>
        </w:tc>
        <w:tc>
          <w:tcPr>
            <w:tcW w:type="dxa" w:w="1440"/>
          </w:tcPr>
          <w:p>
            <w:r>
              <w:rPr>
                <w:rFonts w:ascii="Calibri" w:hAnsi="Calibri"/>
                <w:sz w:val="22"/>
              </w:rPr>
              <w:t>Board of Directors</w:t>
            </w:r>
          </w:p>
        </w:tc>
        <w:tc>
          <w:tcPr>
            <w:tcW w:type="dxa" w:w="1440"/>
          </w:tcPr>
          <w:p>
            <w:r>
              <w:rPr>
                <w:rFonts w:ascii="Calibri" w:hAnsi="Calibri"/>
                <w:sz w:val="22"/>
              </w:rPr>
              <w:t>Award Grant (RSUs / Common Stock)</w:t>
            </w:r>
          </w:p>
        </w:tc>
        <w:tc>
          <w:tcPr>
            <w:tcW w:type="dxa" w:w="1440"/>
          </w:tcPr>
          <w:p>
            <w:r>
              <w:rPr>
                <w:rFonts w:ascii="Calibri" w:hAnsi="Calibri"/>
                <w:sz w:val="22"/>
              </w:rPr>
              <w:t>277 shares each</w:t>
            </w:r>
          </w:p>
        </w:tc>
        <w:tc>
          <w:tcPr>
            <w:tcW w:type="dxa" w:w="1440"/>
          </w:tcPr>
          <w:p>
            <w:r>
              <w:rPr>
                <w:rFonts w:ascii="Calibri" w:hAnsi="Calibri"/>
                <w:sz w:val="22"/>
              </w:rPr>
              <w:t>July 22, 2026</w:t>
            </w:r>
          </w:p>
        </w:tc>
        <w:tc>
          <w:tcPr>
            <w:tcW w:type="dxa" w:w="1440"/>
          </w:tcPr>
          <w:p>
            <w:r>
              <w:rPr>
                <w:rFonts w:ascii="Calibri" w:hAnsi="Calibri"/>
                <w:sz w:val="22"/>
              </w:rPr>
              <w:t>Annual director equity grants following Annual Shareholder Meeting; routine compensation, not a market signal.</w:t>
            </w:r>
          </w:p>
        </w:tc>
      </w:tr>
    </w:tbl>
    <w:p>
      <w:r>
        <w:rPr>
          <w:rFonts w:ascii="Calibri" w:hAnsi="Calibri"/>
          <w:b/>
          <w:color w:val="525866"/>
          <w:sz w:val="22"/>
        </w:rPr>
        <w:t xml:space="preserve">Summary: </w:t>
      </w:r>
      <w:r>
        <w:rPr>
          <w:rFonts w:ascii="Calibri" w:hAnsi="Calibri"/>
          <w:color w:val="525866"/>
          <w:sz w:val="22"/>
        </w:rPr>
        <w:t>All open-market disposals (code S) by executives are under pre-scheduled 10b5-1 plans and are therefore non-discretionary — they carry no informational signal about management's view of the upcoming print. The most notable transaction is the 11,101 RSU grant to new CFO Kenny Cheung upon assuming the role (May 29, 2026), which aligns his interests with shareholders from day one. No open-market buys were recorded in the period, which is neutral given the stock's ~10% rally since earnings. Source: SEC Form 4 filings via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