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met-earnings-predictions--2026-08-05"/>
    <w:p>
      <w:pPr>
        <w:pStyle w:val="Heading1"/>
      </w:pPr>
      <w:r>
        <w:t xml:space="preserve">MET Earnings Predictions — 2026-08-05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MET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~$2.42 vs. cons $2.33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MET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Variable investment income (VII, pretax)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460</m:t>
              </m:r>
              <m:r>
                <m:t>M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380M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MET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Group Benefits group life mortality ratio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~82% vs. cons ~84% (lower = favorable)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MET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RIS adjusted earnings guide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1.6</m:t>
              </m:r>
              <m:r>
                <m:rPr>
                  <m:sty m:val="p"/>
                </m:rPr>
                <m:t>–</m:t>
              </m:r>
              <m:r>
                <m:t>1.8</m:t>
              </m:r>
              <m:r>
                <m:t>B</m:t>
              </m:r>
              <m:r>
                <m:t>r</m:t>
              </m:r>
              <m:r>
                <m:t>e</m:t>
              </m:r>
              <m:r>
                <m:t>a</m:t>
              </m:r>
              <m:r>
                <m:t>f</m:t>
              </m:r>
              <m:r>
                <m:t>f</m:t>
              </m:r>
              <m:r>
                <m:t>i</m:t>
              </m:r>
              <m:r>
                <m:t>r</m:t>
              </m:r>
              <m:r>
                <m:t>m</m:t>
              </m:r>
              <m:r>
                <m:t>e</m:t>
              </m:r>
              <m:r>
                <m:t>d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1.7B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MET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direct expense ratio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~11.9% vs. cons/target 12.1%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MET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Q2 buyback / capital return pace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700</m:t>
              </m:r>
              <m:r>
                <m:t>M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600M (Q2 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MET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Adjusted ROE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pred ~16.8% vs. cons ~16.5%, top of 15–17% target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MET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-1.5%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MET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-2.5% (FADE)</w:t>
            </w:r>
          </w:p>
        </w:tc>
        <w:tc>
          <w:tcPr/>
          <w:p>
            <w:pPr>
              <w:pStyle w:val="Compact"/>
            </w:pPr>
            <w:r>
              <w:t xml:space="preserve">Even a clean headline/VII beat is largely discounted after a ~20% YTD run into the print (stock ~$96 near highs). The beat is heavily VII-flattered; management continues to guide VII toward a lower normalized run-rate, so out-period math implies forward EPS estimates get trimmed rather than raised despite the Q2 beat. Combined with elevated expectations and quality-of-earnings scrutiny (group non-medical health, RIS spread compression on a flat curve), the likely pattern is a modest sell-the-news day-1 reaction that continues to drift lower over the week as revisions catch up to the normalization narrative.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2026-08-05T01:37:59Z</dcterms:created>
  <dcterms:modified xsi:type="dcterms:W3CDTF">2026-08-05T01:37:59Z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