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MET (MetLife) before writing the preview. Let me gather recent filings, transcripts, and news.Let me get the prior-year Q2 base for comparisons, recent news, and stock performance.Let me check for analyst consensus expectations and any very recent news.I have enough to write a well-grounded preview. Let me compile the key figures and write it.# MetLife (MET) — Q2 2026 Earnings Preview</w:t>
      </w:r>
    </w:p>
    <w:bookmarkStart w:id="9" w:name="X319ad55cc911a5607c3c7eba984c5a00ab7fe55"/>
    <w:p>
      <w:pPr>
        <w:pStyle w:val="Heading3"/>
      </w:pPr>
      <w:r>
        <w:t xml:space="preserve">Reports after the close August 5, 2026 · Call August 6, 9:00 a.m. ET</w:t>
      </w:r>
    </w:p>
    <w:p>
      <w:r>
        <w:pict>
          <v:rect style="width:0;height:1.5pt" o:hralign="center" o:hrstd="t" o:hr="t"/>
        </w:pict>
      </w:r>
    </w:p>
    <w:bookmarkEnd w:id="9"/>
    <w:bookmarkStart w:id="10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MetLife heads into Q2 with the wind at its back: an easy year-over-year comparison, three straight quarters of above-plan variable investment income, and a stock that has quietly become one of the best performers in large-cap life insurance. The bar the market has set is meaningfully higher than the muted expectations that greeted this print a year ago.</w:t>
      </w:r>
    </w:p>
    <w:bookmarkEnd w:id="10"/>
    <w:bookmarkStart w:id="11" w:name="what-the-street-expects"/>
    <w:p>
      <w:pPr>
        <w:pStyle w:val="Heading2"/>
      </w:pPr>
      <w:r>
        <w:t xml:space="preserve">What the Street Expects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 consensus is roughly</w:t>
      </w:r>
      <w:r>
        <w:rPr>
          <w:b/>
          <w:bCs/>
        </w:rPr>
        <w:t xml:space="preserve"> </w:t>
      </w:r>
      <m:oMath>
        <m:r>
          <m:t>2.30</m:t>
        </m:r>
        <m:r>
          <m:rPr>
            <m:sty m:val="p"/>
          </m:rPr>
          <m:t>–</m:t>
        </m:r>
      </m:oMath>
      <w:r>
        <w:rPr>
          <w:b/>
          <w:bCs/>
        </w:rPr>
        <w:t xml:space="preserve">2.36</w:t>
      </w:r>
      <w:r>
        <w:t xml:space="preserve">, implying</w:t>
      </w:r>
      <w:r>
        <w:t xml:space="preserve"> </w:t>
      </w:r>
      <w:r>
        <w:rPr>
          <w:b/>
          <w:bCs/>
        </w:rPr>
        <w:t xml:space="preserve">~14–17% growth</w:t>
      </w:r>
      <w:r>
        <w:t xml:space="preserve"> </w:t>
      </w:r>
      <w:r>
        <w:t xml:space="preserve">versus the</w:t>
      </w:r>
      <w:r>
        <w:t xml:space="preserve"> </w:t>
      </w:r>
      <m:oMath>
        <m:r>
          <m:t>2.02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t>i</m:t>
        </m:r>
        <m:r>
          <m:t>n</m:t>
        </m:r>
        <m:r>
          <m:t>Q</m:t>
        </m:r>
        <m:r>
          <m:t>2</m:t>
        </m:r>
        <m:r>
          <m:t>2025</m:t>
        </m:r>
        <m:r>
          <m:rPr>
            <m:sty m:val="p"/>
          </m:rPr>
          <m:t>.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i</m:t>
        </m:r>
        <m:r>
          <m:t>s</m:t>
        </m:r>
        <m:r>
          <m:t>p</m:t>
        </m:r>
        <m:r>
          <m:t>e</m:t>
        </m:r>
        <m:r>
          <m:t>g</m:t>
        </m:r>
        <m:r>
          <m:t>g</m:t>
        </m:r>
        <m:r>
          <m:t>e</m:t>
        </m:r>
        <m:r>
          <m:t>d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19.3 billion**.</w:t>
      </w:r>
    </w:p>
    <w:p>
      <w:pPr>
        <w:pStyle w:val="Compact"/>
        <w:numPr>
          <w:ilvl w:val="0"/>
          <w:numId w:val="1001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soft comparison</w:t>
      </w:r>
      <w:r>
        <w:t xml:space="preserve">. Q2 2025 was explicitly the quarter management said "didn't demonstrate the full earnings power of MetLife" — adjusted earnings fell 16% to $1.36 billion on weak underwriting and depressed variable investment income (VII of just $195 million). Anything resembling normal underwriting plus healthy VII should drive strong optical YoY growth.</w:t>
      </w:r>
    </w:p>
    <w:p>
      <w:pPr>
        <w:pStyle w:val="Compact"/>
        <w:numPr>
          <w:ilvl w:val="0"/>
          <w:numId w:val="1001"/>
        </w:numPr>
      </w:pPr>
      <w:r>
        <w:t xml:space="preserve">MetLife has beaten in three of the last four quarters (Q4 2025 came in at</w:t>
      </w:r>
      <w:r>
        <w:t xml:space="preserve"> </w:t>
      </w:r>
      <m:oMath>
        <m:r>
          <m:t>2.49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2.35 expected), so a modest beat is the base case, and the debate will be about</w:t>
      </w:r>
      <w:r>
        <w:t xml:space="preserve"> </w:t>
      </w:r>
      <w:r>
        <w:rPr>
          <w:b/>
          <w:bCs/>
        </w:rPr>
        <w:t xml:space="preserve">quality and durability</w:t>
      </w:r>
      <w:r>
        <w:t xml:space="preserve"> </w:t>
      </w:r>
      <w:r>
        <w:t xml:space="preserve">rather than the headline.</w:t>
      </w:r>
    </w:p>
    <w:bookmarkEnd w:id="11"/>
    <w:bookmarkStart w:id="12" w:name="momentum-coming-out-of-q1-2026"/>
    <w:p>
      <w:pPr>
        <w:pStyle w:val="Heading2"/>
      </w:pPr>
      <w:r>
        <w:t xml:space="preserve">Momentum Coming Out of Q1 2026</w:t>
      </w:r>
    </w:p>
    <w:p>
      <w:pPr>
        <w:pStyle w:val="FirstParagraph"/>
      </w:pPr>
      <w:r>
        <w:t xml:space="preserve">The Q1 print set a high-water mark and framed year two of the "New Frontier" strategy: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 $2.42, +23% YoY</w:t>
      </w:r>
      <w:r>
        <w:t xml:space="preserve">; adjusted earnings $1.59 billion, +18%.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ROE 17.0%</w:t>
      </w:r>
      <w:r>
        <w:t xml:space="preserve">, at the top of the 15–17% target.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VII of $518 million pretax</w:t>
      </w:r>
      <w:r>
        <w:t xml:space="preserve"> </w:t>
      </w:r>
      <w:r>
        <w:t xml:space="preserve">— the third consecutive above-expectation quarter, driven by ~2.9% private equity returns (venture/AI-skewed book returned 6.8%).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Direct expense ratio of 11.9%</w:t>
      </w:r>
      <w:r>
        <w:t xml:space="preserve">, already inside the 12.1% full-year 2026 target even while absorbing ~50 bps of PineBridge dilution.</w:t>
      </w:r>
    </w:p>
    <w:p>
      <w:pPr>
        <w:pStyle w:val="Compact"/>
        <w:numPr>
          <w:ilvl w:val="0"/>
          <w:numId w:val="1002"/>
        </w:numPr>
      </w:pPr>
      <w:r>
        <w:t xml:space="preserve">Broad-based top line: adjusted PFOs ex-PRT +10%, with growth in every segment.</w:t>
      </w:r>
    </w:p>
    <w:bookmarkEnd w:id="12"/>
    <w:bookmarkStart w:id="13" w:name="key-things-to-watch-in-the-print"/>
    <w:p>
      <w:pPr>
        <w:pStyle w:val="Heading2"/>
      </w:pPr>
      <w:r>
        <w:t xml:space="preserve">Key Things to Watch in the Print</w:t>
      </w:r>
    </w:p>
    <w:p>
      <w:pPr>
        <w:pStyle w:val="FirstParagraph"/>
      </w:pPr>
      <w:r>
        <w:rPr>
          <w:b/>
          <w:bCs/>
        </w:rPr>
        <w:t xml:space="preserve">1. Variable investment income — the swing factor.</w:t>
      </w:r>
      <w:r>
        <w:t xml:space="preserve"> </w:t>
      </w:r>
      <w:r>
        <w:t xml:space="preserve">VII is reported on a one-quarter lag and has run hot for three quarters. Management continues to guide to a "normalized" level over the full year, so a step-down toward run-rate would be expected and shouldn't rattle the thesis — but given how much of the recent EPS beat has been VII-driven, investors will scrutinize the private-equity and venture-capital marks (heavily AI-exposed) for signs of mean reversion.</w:t>
      </w:r>
    </w:p>
    <w:p>
      <w:pPr>
        <w:pStyle w:val="BodyText"/>
      </w:pPr>
      <w:r>
        <w:rPr>
          <w:b/>
          <w:bCs/>
        </w:rPr>
        <w:t xml:space="preserve">2. Group Benefits underwriting normalization.</w:t>
      </w:r>
      <w:r>
        <w:t xml:space="preserve"> </w:t>
      </w:r>
      <w:r>
        <w:t xml:space="preserve">Q1 was exceptional: the group life mortality ratio was 80.1%, well below the 83–88% target, aided by favorable working-age mortality and a light flu season. Management framed the mortality tailwind as potentially structural (COVID pull-forward, GLP-1 effects) but cautioned any pricing give-back would happen "in years, not quarters." Offsetting that, the</w:t>
      </w:r>
      <w:r>
        <w:t xml:space="preserve"> </w:t>
      </w:r>
      <w:r>
        <w:rPr>
          <w:b/>
          <w:bCs/>
        </w:rPr>
        <w:t xml:space="preserve">non-medical health ratio ran hot (75.8% vs. 70–75% target)</w:t>
      </w:r>
      <w:r>
        <w:t xml:space="preserve"> </w:t>
      </w:r>
      <w:r>
        <w:t xml:space="preserve">on seasonal dental utilization, disability severity, and new state paid-family-leave programs — management guided to</w:t>
      </w:r>
      <w:r>
        <w:t xml:space="preserve"> </w:t>
      </w:r>
      <w:r>
        <w:rPr>
          <w:b/>
          <w:bCs/>
        </w:rPr>
        <w:t xml:space="preserve">moderation in the second half</w:t>
      </w:r>
      <w:r>
        <w:t xml:space="preserve">, so Q2 is a checkpoint on that call.</w:t>
      </w:r>
    </w:p>
    <w:p>
      <w:pPr>
        <w:pStyle w:val="BodyText"/>
      </w:pPr>
      <w:r>
        <w:rPr>
          <w:b/>
          <w:bCs/>
        </w:rPr>
        <w:t xml:space="preserve">3. RIS spreads and the full-year guide.</w:t>
      </w:r>
      <w:r>
        <w:t xml:space="preserve"> </w:t>
      </w:r>
      <w:r>
        <w:t xml:space="preserve">Core spread ex-VII was 95 bps in Q1 (down 4 bps sequentially) as MetLife rotated the large Q4 PRT inflows. Management guided Q2 core spread to be roughly flat to slightly higher, with a</w:t>
      </w:r>
      <w:r>
        <w:t xml:space="preserve"> </w:t>
      </w:r>
      <w:r>
        <w:rPr>
          <w:b/>
          <w:bCs/>
        </w:rPr>
        <w:t xml:space="preserve">persistently flat yield curve as a headwind</w:t>
      </w:r>
      <w:r>
        <w:t xml:space="preserve">. Watch whether the full-year RIS adjusted-earnings guide of</w:t>
      </w:r>
      <w:r>
        <w:t xml:space="preserve"> </w:t>
      </w:r>
      <m:oMath>
        <m:r>
          <m:t>1.6</m:t>
        </m:r>
        <m:r>
          <m:rPr>
            <m:sty m:val="p"/>
          </m:rPr>
          <m:t>–</m:t>
        </m:r>
      </m:oMath>
      <w:r>
        <w:rPr>
          <w:b/>
          <w:bCs/>
        </w:rPr>
        <w:t xml:space="preserve">1.8 billion</w:t>
      </w:r>
      <w:r>
        <w:t xml:space="preserve"> </w:t>
      </w:r>
      <w:r>
        <w:t xml:space="preserve">is reaffirmed, and the cadence of newer growth engines — U.K. funded reinsurance and retail annuity reinsurance ($2 billion of combined inflows YTD as of Q1).</w:t>
      </w:r>
    </w:p>
    <w:p>
      <w:pPr>
        <w:pStyle w:val="BodyText"/>
      </w:pPr>
      <w:r>
        <w:rPr>
          <w:b/>
          <w:bCs/>
        </w:rPr>
        <w:t xml:space="preserve">4. Asia — momentum vs. tough comps, plus the Japan regulatory overhang.</w:t>
      </w:r>
      <w:r>
        <w:t xml:space="preserve"> </w:t>
      </w:r>
      <w:r>
        <w:t xml:space="preserve">Asia was the standout in Q1 (+31% adjusted earnings; sales +22% cc, Japan +26%, Korea +44%). Management flagged</w:t>
      </w:r>
      <w:r>
        <w:t xml:space="preserve"> </w:t>
      </w:r>
      <w:r>
        <w:rPr>
          <w:b/>
          <w:bCs/>
        </w:rPr>
        <w:t xml:space="preserve">moderating growth rates ahead</w:t>
      </w:r>
      <w:r>
        <w:t xml:space="preserve"> </w:t>
      </w:r>
      <w:r>
        <w:t xml:space="preserve">on strong prior-year comps but expected momentum to persist. Separately, monitor the</w:t>
      </w:r>
      <w:r>
        <w:t xml:space="preserve"> </w:t>
      </w:r>
      <w:r>
        <w:rPr>
          <w:b/>
          <w:bCs/>
        </w:rPr>
        <w:t xml:space="preserve">industry-wide Japan FSA "secondment" issue</w:t>
      </w:r>
      <w:r>
        <w:t xml:space="preserve"> </w:t>
      </w:r>
      <w:r>
        <w:t xml:space="preserve">— MetLife has ended the practice and is cooperating, and says there's been no impact on sales or results, but it remains an open regulatory item.</w:t>
      </w:r>
    </w:p>
    <w:p>
      <w:pPr>
        <w:pStyle w:val="BodyText"/>
      </w:pPr>
      <w:r>
        <w:rPr>
          <w:b/>
          <w:bCs/>
        </w:rPr>
        <w:t xml:space="preserve">5. MIM / PineBridge integration.</w:t>
      </w:r>
      <w:r>
        <w:t xml:space="preserve"> </w:t>
      </w:r>
      <w:r>
        <w:t xml:space="preserve">First full quarter post-close delivered</w:t>
      </w:r>
      <w:r>
        <w:t xml:space="preserve"> </w:t>
      </w:r>
      <m:oMath>
        <m:r>
          <m:t>47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68</m:t>
        </m:r>
      </m:oMath>
      <w:r>
        <w:t xml:space="preserve">2 billion of institutional outflows tied to platform integration and market volatility. Management said flows stabilized late in Q1 and into April, with a strong private-assets pipeline and cross-sell opportunities (~50% of PineBridge AUM is non-U.S.). Watch for</w:t>
      </w:r>
      <w:r>
        <w:t xml:space="preserve"> </w:t>
      </w:r>
      <w:r>
        <w:rPr>
          <w:b/>
          <w:bCs/>
        </w:rPr>
        <w:t xml:space="preserve">stabilizing/positive net flows</w:t>
      </w:r>
      <w:r>
        <w:t xml:space="preserve"> </w:t>
      </w:r>
      <w:r>
        <w:t xml:space="preserve">and the promised earnings ramp through the year.</w:t>
      </w:r>
    </w:p>
    <w:p>
      <w:pPr>
        <w:pStyle w:val="BodyText"/>
      </w:pPr>
      <w:r>
        <w:rPr>
          <w:b/>
          <w:bCs/>
        </w:rPr>
        <w:t xml:space="preserve">6. Latin America and EMEA.</w:t>
      </w:r>
      <w:r>
        <w:t xml:space="preserve"> </w:t>
      </w:r>
      <w:r>
        <w:t xml:space="preserve">LatAm carries a</w:t>
      </w:r>
      <w:r>
        <w:t xml:space="preserve"> </w:t>
      </w:r>
      <w:r>
        <w:rPr>
          <w:b/>
          <w:bCs/>
        </w:rPr>
        <w:t xml:space="preserve">Mexico VAT tax drag</w:t>
      </w:r>
      <w:r>
        <w:t xml:space="preserve"> </w:t>
      </w:r>
      <w:r>
        <w:t xml:space="preserve">(Q1 earnings +5% reported but -9% cc); watch underlying volume growth (sales +20% cc in Q1). EMEA has been on a multi-year run — management raised its quarterly run-rate framing to the</w:t>
      </w:r>
      <w:r>
        <w:t xml:space="preserve"> </w:t>
      </w:r>
      <w:r>
        <w:rPr>
          <w:b/>
          <w:bCs/>
        </w:rPr>
        <w:t xml:space="preserve">middle-to-upper end of</w:t>
      </w:r>
      <w:r>
        <w:rPr>
          <w:b/>
          <w:bCs/>
        </w:rPr>
        <w:t xml:space="preserve"> </w:t>
      </w:r>
      <m:oMath>
        <m:r>
          <m:t>90</m:t>
        </m:r>
        <m:r>
          <m:rPr>
            <m:sty m:val="p"/>
          </m:rPr>
          <m:t>–</m:t>
        </m:r>
      </m:oMath>
      <w:r>
        <w:rPr>
          <w:b/>
          <w:bCs/>
        </w:rPr>
        <w:t xml:space="preserve">100 million</w:t>
      </w:r>
      <w:r>
        <w:t xml:space="preserve">.</w:t>
      </w:r>
    </w:p>
    <w:bookmarkEnd w:id="13"/>
    <w:bookmarkStart w:id="14" w:name="capital--balance-sheet"/>
    <w:p>
      <w:pPr>
        <w:pStyle w:val="Heading2"/>
      </w:pPr>
      <w:r>
        <w:t xml:space="preserve">Capital &amp; Balance Sheet</w:t>
      </w:r>
    </w:p>
    <w:p>
      <w:pPr>
        <w:pStyle w:val="FirstParagraph"/>
      </w:pPr>
      <w:r>
        <w:t xml:space="preserve">Capital return remains a core part of the story: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~</w:t>
      </w:r>
      <m:oMath>
        <m:r>
          <m:t>750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t>i</m:t>
        </m:r>
        <m:r>
          <m:t>n</m:t>
        </m:r>
        <m:r>
          <m:t>Q</m:t>
        </m:r>
        <m:r>
          <m:t>1</m:t>
        </m:r>
        <m:r>
          <m:t>p</m:t>
        </m:r>
        <m:r>
          <m:t>l</m:t>
        </m:r>
        <m:r>
          <m:t>u</m:t>
        </m:r>
        <m:r>
          <m:t>s</m:t>
        </m:r>
        <m:r>
          <m:t> </m:t>
        </m:r>
      </m:oMath>
      <w:r>
        <w:rPr>
          <w:b/>
          <w:bCs/>
        </w:rPr>
        <w:t xml:space="preserve">200 million in April</w:t>
      </w:r>
      <w:r>
        <w:t xml:space="preserve">; ~$1.1 billion remaining on authorization. Watch the Q2 repurchase pace and any refresh of the authorization.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Dividend raised 4.4%</w:t>
      </w:r>
      <w:r>
        <w:t xml:space="preserve"> </w:t>
      </w:r>
      <w:r>
        <w:t xml:space="preserve">to $0.5925/quarter.</w:t>
      </w:r>
    </w:p>
    <w:p>
      <w:pPr>
        <w:pStyle w:val="Compact"/>
        <w:numPr>
          <w:ilvl w:val="0"/>
          <w:numId w:val="1003"/>
        </w:numPr>
      </w:pPr>
      <w:r>
        <w:t xml:space="preserve">Holdco cash of</w:t>
      </w:r>
      <w:r>
        <w:t xml:space="preserve"> </w:t>
      </w:r>
      <w:r>
        <w:rPr>
          <w:b/>
          <w:bCs/>
        </w:rPr>
        <w:t xml:space="preserve">$3.9 billion</w:t>
      </w:r>
      <w:r>
        <w:t xml:space="preserve"> </w:t>
      </w:r>
      <w:r>
        <w:t xml:space="preserve">(top of the</w:t>
      </w:r>
      <w:r>
        <w:t xml:space="preserve"> </w:t>
      </w:r>
      <m:oMath>
        <m:r>
          <m:t>3</m:t>
        </m:r>
        <m:r>
          <m:rPr>
            <m:sty m:val="p"/>
          </m:rPr>
          <m:t>–</m:t>
        </m:r>
      </m:oMath>
      <w:r>
        <w:t xml:space="preserve">4 billion target); U.S. RBC of</w:t>
      </w:r>
      <w:r>
        <w:t xml:space="preserve"> </w:t>
      </w:r>
      <w:r>
        <w:rPr>
          <w:b/>
          <w:bCs/>
        </w:rPr>
        <w:t xml:space="preserve">379%</w:t>
      </w:r>
      <w:r>
        <w:t xml:space="preserve"> </w:t>
      </w:r>
      <w:r>
        <w:t xml:space="preserve">vs. 360% target; Japan ESR expected mid-range (170–190%).</w:t>
      </w:r>
    </w:p>
    <w:p>
      <w:pPr>
        <w:pStyle w:val="Compact"/>
        <w:numPr>
          <w:ilvl w:val="0"/>
          <w:numId w:val="1003"/>
        </w:numPr>
      </w:pPr>
      <w:r>
        <w:t xml:space="preserve">Management reiterates a</w:t>
      </w:r>
      <w:r>
        <w:t xml:space="preserve"> </w:t>
      </w:r>
      <w:r>
        <w:rPr>
          <w:b/>
          <w:bCs/>
        </w:rPr>
        <w:t xml:space="preserve">65–75% free cash flow ratio</w:t>
      </w:r>
      <w:r>
        <w:t xml:space="preserve"> </w:t>
      </w:r>
      <w:r>
        <w:t xml:space="preserve">and a 24–26% adjusted tax rate through New Frontier.</w:t>
      </w:r>
    </w:p>
    <w:bookmarkEnd w:id="14"/>
    <w:bookmarkStart w:id="15" w:name="watch-items--risks"/>
    <w:p>
      <w:pPr>
        <w:pStyle w:val="Heading2"/>
      </w:pPr>
      <w:r>
        <w:t xml:space="preserve">Watch Items / Risks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Net income vs. adjusted earnings gap.</w:t>
      </w:r>
      <w:r>
        <w:t xml:space="preserve"> </w:t>
      </w:r>
      <w:r>
        <w:t xml:space="preserve">Q1 net income (</w:t>
      </w:r>
      <m:oMath>
        <m:r>
          <m:t>1.74</m:t>
        </m:r>
        <m:r>
          <m:rPr>
            <m:sty m:val="p"/>
          </m:rPr>
          <m:t>)</m:t>
        </m:r>
        <m:r>
          <m:t>t</m:t>
        </m:r>
        <m:r>
          <m:t>r</m:t>
        </m:r>
        <m:r>
          <m:t>a</m:t>
        </m:r>
        <m:r>
          <m:t>i</m:t>
        </m:r>
        <m:r>
          <m:t>l</m:t>
        </m:r>
        <m:r>
          <m:t>e</m:t>
        </m:r>
        <m:r>
          <m:t>d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rPr>
            <m:sty m:val="p"/>
          </m:rPr>
          <m:t>(</m:t>
        </m:r>
      </m:oMath>
      <w:r>
        <w:t xml:space="preserve">2.42) on net investment losses from portfolio rotation and a PE secondary sale. Elevated trading losses or derivative/interest-rate marks can again widen the gap.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Segment realignment.</w:t>
      </w:r>
      <w:r>
        <w:t xml:space="preserve"> </w:t>
      </w:r>
      <w:r>
        <w:t xml:space="preserve">MIM is now a reportable segment and MetLife Holdings has been reorganized (following the Chariot Re / Talcott reinsurance transactions), so year-over-year segment comparisons should be made against restated figures, not the as-reported Q2 2025 lines (which still showed a standalone MetLife Holdings segment and no MIM segment).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Sun Life indemnity dispute.</w:t>
      </w:r>
      <w:r>
        <w:t xml:space="preserve"> </w:t>
      </w:r>
      <w:r>
        <w:t xml:space="preserve">MetLife has publicly called Sun Life's ~C$200 million indemnity claim "baseless"; small in magnitude but a headline risk.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Credit/private-credit scrutiny.</w:t>
      </w:r>
      <w:r>
        <w:t xml:space="preserve"> </w:t>
      </w:r>
      <w:r>
        <w:t xml:space="preserve">Management has been proactive on this — ~95% of the $85 billion private fixed income book is investment grade, with no BDC exposure and sub-1% middle-market loans — but the market's focus on insurers' private-credit and "software/AI" exposure means any commentary here will be watched.</w:t>
      </w:r>
    </w:p>
    <w:bookmarkEnd w:id="15"/>
    <w:bookmarkStart w:id="16" w:name="the-stock-going-in"/>
    <w:p>
      <w:pPr>
        <w:pStyle w:val="Heading2"/>
      </w:pPr>
      <w:r>
        <w:t xml:space="preserve">The Stock Going In</w:t>
      </w:r>
    </w:p>
    <w:p>
      <w:pPr>
        <w:pStyle w:val="FirstParagraph"/>
      </w:pPr>
      <w:r>
        <w:t xml:space="preserve">MET has been a strong performer: shares are up roughly</w:t>
      </w:r>
      <w:r>
        <w:t xml:space="preserve"> </w:t>
      </w:r>
      <w:r>
        <w:rPr>
          <w:b/>
          <w:bCs/>
        </w:rPr>
        <w:t xml:space="preserve">20% year-to-date</w:t>
      </w:r>
      <w:r>
        <w:t xml:space="preserve"> </w:t>
      </w:r>
      <w:r>
        <w:t xml:space="preserve">(from ~</w:t>
      </w:r>
      <m:oMath>
        <m:r>
          <m:t>80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96) and about</w:t>
      </w:r>
      <w:r>
        <w:t xml:space="preserve"> </w:t>
      </w:r>
      <w:r>
        <w:rPr>
          <w:b/>
          <w:bCs/>
        </w:rPr>
        <w:t xml:space="preserve">40% off the mid-March lows near $68</w:t>
      </w:r>
      <w:r>
        <w:t xml:space="preserve">, outpacing peer Prudential (PRU up ~9% YTD). The rally accelerated into July, meaning</w:t>
      </w:r>
      <w:r>
        <w:t xml:space="preserve"> </w:t>
      </w:r>
      <w:r>
        <w:rPr>
          <w:b/>
          <w:bCs/>
        </w:rPr>
        <w:t xml:space="preserve">expectations and valuation have re-rated</w:t>
      </w:r>
      <w:r>
        <w:t xml:space="preserve"> </w:t>
      </w:r>
      <w:r>
        <w:t xml:space="preserve">— a clean, in-line quarter may not be enough; the burden of proof has shifted toward demonstrating the earnings power is repeatable rather than VII-flattered.</w:t>
      </w:r>
    </w:p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direction of travel is favorable — easy comp, expense discipline running ahead of target, strong international sales, and disciplined capital return. The</w:t>
      </w:r>
      <w:r>
        <w:t xml:space="preserve"> </w:t>
      </w:r>
      <w:r>
        <w:rPr>
          <w:b/>
          <w:bCs/>
        </w:rPr>
        <w:t xml:space="preserve">key judgment calls</w:t>
      </w:r>
      <w:r>
        <w:t xml:space="preserve"> </w:t>
      </w:r>
      <w:r>
        <w:t xml:space="preserve">for investors will be: (1) how much of the beat is VII-driven vs. core; (2) whether Group Benefits non-medical health normalizes as promised; (3) confirmation of the RIS full-year guide and spread trajectory; and (4) MIM flow stabilization. With the stock having already run hard, quality of earnings and management's tone on the full-year outlook likely matter more than the headline number.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Sources: MetLife Q1 2026 earnings call transcript and release (May 2026); Q2 2025 earnings release (August 2025); consensus estimates and price data as of Aug 4, 2026. Figures are management-reported adjusted (non-GAAP) measures unless noted.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2026-08-05T01:37:59Z</dcterms:created>
  <dcterms:modified xsi:type="dcterms:W3CDTF">2026-08-05T01:37:59Z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