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metlife-met-q2-2026-earnings-preview"/>
    <w:p>
      <w:pPr>
        <w:pStyle w:val="Heading1"/>
      </w:pPr>
      <w:r>
        <w:t xml:space="preserve">MetLife (MET) Q2 2026 Earnings Preview</w:t>
      </w:r>
    </w:p>
    <w:p>
      <w:pPr>
        <w:pStyle w:val="FirstParagraph"/>
      </w:pPr>
      <w:r>
        <w:rPr>
          <w:b/>
          <w:bCs/>
        </w:rPr>
        <w:t xml:space="preserve">Reports:</w:t>
      </w:r>
      <w:r>
        <w:t xml:space="preserve"> </w:t>
      </w:r>
      <w:r>
        <w:t xml:space="preserve">Wednesday, August 5, 2026 (after market close/pre-call Aug 6 timing per calendar); Earnings call for 2026Q2</w:t>
      </w:r>
    </w:p>
    <w:p>
      <w:r>
        <w:pict>
          <v:rect style="width:0;height:1.5pt" o:hralign="center" o:hrstd="t" o:hr="t"/>
        </w:pict>
      </w:r>
    </w:p>
    <w:bookmarkStart w:id="9" w:name="X1428068d42d702c85eb52cf7373845d0dc8f6e7"/>
    <w:p>
      <w:pPr>
        <w:pStyle w:val="Heading2"/>
      </w:pPr>
      <w:r>
        <w:t xml:space="preserve">1. Setup: A Stock at All-Time Highs Heading Into Print</w:t>
      </w:r>
    </w:p>
    <w:p>
      <w:pPr>
        <w:pStyle w:val="FirstParagraph"/>
      </w:pPr>
      <w:r>
        <w:t xml:space="preserve">MET shares have had a remarkable run into this print — climbing from roughly $71 in early April to an</w:t>
      </w:r>
      <w:r>
        <w:t xml:space="preserve"> </w:t>
      </w:r>
      <w:r>
        <w:rPr>
          <w:b/>
          <w:bCs/>
        </w:rPr>
        <w:t xml:space="preserve">all-time closing high near</w:t>
      </w:r>
      <w:r>
        <w:rPr>
          <w:b/>
          <w:bCs/>
        </w:rPr>
        <w:t xml:space="preserve"> </w:t>
      </w:r>
      <m:oMath>
        <m:r>
          <m:t>97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s</m:t>
        </m:r>
        <m:r>
          <m:t>e</m:t>
        </m:r>
        <m:r>
          <m:t>t</m:t>
        </m:r>
        <m:r>
          <m:t>t</m:t>
        </m:r>
        <m:r>
          <m:t>l</m:t>
        </m:r>
        <m:r>
          <m:t>i</m:t>
        </m:r>
        <m:r>
          <m:t>n</m:t>
        </m:r>
        <m:r>
          <m:t>g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96</w:t>
      </w:r>
      <w:r>
        <w:t xml:space="preserve"> </w:t>
      </w:r>
      <w:r>
        <w:t xml:space="preserve">in the days before earnings. That's a ~35% advance in four months, comfortably outpacing the broader market and financial sector. The rally has been fueled by a blowout Q1 report, four consecutive sell-side price-target hikes in July (JPMorgan to $106, TD Cowen to $105, KBW to $105, Jefferies to $103), and confidence in management's "New Frontier" strategic execution — though one notable downgrade-in-target came from BofA (cut to $103 from $106). Consensus sits at a</w:t>
      </w:r>
      <w:r>
        <w:t xml:space="preserve"> </w:t>
      </w:r>
      <w:r>
        <w:rPr>
          <w:b/>
          <w:bCs/>
        </w:rPr>
        <w:t xml:space="preserve">Buy/Moderate Buy</w:t>
      </w:r>
      <w:r>
        <w:t xml:space="preserve"> </w:t>
      </w:r>
      <w:r>
        <w:t xml:space="preserve">rating with price targets clustering in the</w:t>
      </w:r>
      <w:r>
        <w:t xml:space="preserve"> </w:t>
      </w:r>
      <m:oMath>
        <m:r>
          <m:t>90</m:t>
        </m:r>
        <m:r>
          <m:t>s</m:t>
        </m:r>
        <m:r>
          <m:rPr>
            <m:sty m:val="p"/>
          </m:rPr>
          <m:t>–</m:t>
        </m:r>
      </m:oMath>
      <w:r>
        <w:t xml:space="preserve">100s.</w:t>
      </w:r>
    </w:p>
    <w:p>
      <w:pPr>
        <w:pStyle w:val="BodyText"/>
      </w:pPr>
      <w:r>
        <w:t xml:space="preserve">That backdrop raises the bar: expectations are high, and the stock is priced for continued execution. Any wobble — even a well-explained one — could trigger profit-taking after such a strong run.</w:t>
      </w:r>
    </w:p>
    <w:bookmarkEnd w:id="9"/>
    <w:bookmarkStart w:id="10" w:name="X981deddc1a848b387888e6bcfbd423f5e538375"/>
    <w:p>
      <w:pPr>
        <w:pStyle w:val="Heading2"/>
      </w:pPr>
      <w:r>
        <w:t xml:space="preserve">2. What Wall Street Expects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Q2 2026 adjusted EPS:</w:t>
      </w:r>
      <w:r>
        <w:t xml:space="preserve"> </w:t>
      </w:r>
      <w:r>
        <w:t xml:space="preserve">consensus roughly</w:t>
      </w:r>
      <w:r>
        <w:t xml:space="preserve"> </w:t>
      </w:r>
      <m:oMath>
        <m:r>
          <m:t>2.30</m:t>
        </m:r>
        <m:r>
          <m:rPr>
            <m:sty m:val="p"/>
          </m:rPr>
          <m:t>–</m:t>
        </m:r>
      </m:oMath>
      <w:r>
        <w:rPr>
          <w:b/>
          <w:bCs/>
        </w:rPr>
        <w:t xml:space="preserve">2.36</w:t>
      </w:r>
      <w:r>
        <w:t xml:space="preserve">, up ~14–17% year-over-year from $2.02 in Q2 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roughly</w:t>
      </w:r>
      <w:r>
        <w:t xml:space="preserve"> </w:t>
      </w:r>
      <w:r>
        <w:rPr>
          <w:b/>
          <w:bCs/>
        </w:rPr>
        <w:t xml:space="preserve">$19.3 billion</w:t>
      </w:r>
      <w:r>
        <w:t xml:space="preserve">, up ~8% year-over-year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2026 EPS:</w:t>
      </w:r>
      <w:r>
        <w:t xml:space="preserve"> </w:t>
      </w:r>
      <w:r>
        <w:t xml:space="preserve">consensus around</w:t>
      </w:r>
      <w:r>
        <w:t xml:space="preserve"> </w:t>
      </w:r>
      <w:r>
        <w:rPr>
          <w:b/>
          <w:bCs/>
        </w:rPr>
        <w:t xml:space="preserve">$9.94</w:t>
      </w:r>
      <w:r>
        <w:t xml:space="preserve">, up ~12% from $8.89 in FY2025</w:t>
      </w:r>
    </w:p>
    <w:p>
      <w:pPr>
        <w:pStyle w:val="Compact"/>
        <w:numPr>
          <w:ilvl w:val="0"/>
          <w:numId w:val="1001"/>
        </w:numPr>
      </w:pPr>
      <w:r>
        <w:t xml:space="preserve">Track record: MetLife has beaten consensus in three of its last four quarters</w:t>
      </w:r>
    </w:p>
    <w:bookmarkEnd w:id="10"/>
    <w:bookmarkStart w:id="11" w:name="Xe98502ed437219216d91d8bde59e9d16f52ca04"/>
    <w:p>
      <w:pPr>
        <w:pStyle w:val="Heading2"/>
      </w:pPr>
      <w:r>
        <w:t xml:space="preserve">3. The Big Swing Factor: Variable Investment Income Guided Down Sharply</w:t>
      </w:r>
    </w:p>
    <w:p>
      <w:pPr>
        <w:pStyle w:val="FirstParagraph"/>
      </w:pPr>
      <w:r>
        <w:t xml:space="preserve">This is the single most important known data point going into the print. On June 29, MetLife pre-announced via 8-K that it expects</w:t>
      </w:r>
      <w:r>
        <w:t xml:space="preserve"> </w:t>
      </w:r>
      <w:r>
        <w:rPr>
          <w:b/>
          <w:bCs/>
        </w:rPr>
        <w:t xml:space="preserve">Q2 variable investment income (VII) of only</w:t>
      </w:r>
      <w:r>
        <w:rPr>
          <w:b/>
          <w:bCs/>
        </w:rPr>
        <w:t xml:space="preserve"> </w:t>
      </w:r>
      <m:oMath>
        <m:r>
          <m:t>220</m:t>
        </m:r>
        <m:r>
          <m:rPr>
            <m:sty m:val="p"/>
          </m:rPr>
          <m:t>–</m:t>
        </m:r>
        <m:r>
          <m:t>270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r</m:t>
        </m:r>
        <m:r>
          <m:t>e</m:t>
        </m:r>
        <m:r>
          <m:t>d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518 million in Q1</w:t>
      </w:r>
      <w:r>
        <w:t xml:space="preserve"> </w:t>
      </w:r>
      <w:r>
        <w:t xml:space="preserve">(which was itself a beat, near the top of guidance, driven by strong private-equity and venture-capital returns) and against full-year guidance of ~$1.6 billion.</w:t>
      </w:r>
    </w:p>
    <w:p>
      <w:pPr>
        <w:pStyle w:val="BodyText"/>
      </w:pPr>
      <w:r>
        <w:t xml:space="preserve">Management flagged this on the Q1 call and again at Morgan Stanley's June financials conference: CFO John McCallion said the company "could see a little more pressure going into Q2" given how Q1 closed, but sounded more optimistic about</w:t>
      </w:r>
      <w:r>
        <w:t xml:space="preserve"> </w:t>
      </w:r>
      <w:r>
        <w:rPr>
          <w:b/>
          <w:bCs/>
        </w:rPr>
        <w:t xml:space="preserve">Q3</w:t>
      </w:r>
      <w:r>
        <w:t xml:space="preserve">, pointing to a stronger market/IPO backdrop and MetLife's venture-capital exposure skewed toward AI names. Practically, this means:</w:t>
      </w:r>
    </w:p>
    <w:p>
      <w:pPr>
        <w:pStyle w:val="Compact"/>
        <w:numPr>
          <w:ilvl w:val="0"/>
          <w:numId w:val="1002"/>
        </w:numPr>
      </w:pPr>
      <w:r>
        <w:t xml:space="preserve">Total company adjusted earnings growth in Q2 will likely decelerate meaningfully from Q1's 18% pace, purely on a VII comp/base-rate basis — this should not be read as an operating deterioration.</w:t>
      </w:r>
    </w:p>
    <w:p>
      <w:pPr>
        <w:pStyle w:val="Compact"/>
        <w:numPr>
          <w:ilvl w:val="0"/>
          <w:numId w:val="1002"/>
        </w:numPr>
      </w:pPr>
      <w:r>
        <w:t xml:space="preserve">RIS spreads (which get a VII boost) may land toward the</w:t>
      </w:r>
      <w:r>
        <w:t xml:space="preserve"> </w:t>
      </w:r>
      <w:r>
        <w:rPr>
          <w:b/>
          <w:bCs/>
        </w:rPr>
        <w:t xml:space="preserve">lower end</w:t>
      </w:r>
      <w:r>
        <w:t xml:space="preserve"> </w:t>
      </w:r>
      <w:r>
        <w:t xml:space="preserve">of the 100–120bps guided range, even as the core (ex-VII) spread — which came in at 95bps in Q1 — is expected to be roughly flat to modestly better.</w:t>
      </w:r>
    </w:p>
    <w:p>
      <w:pPr>
        <w:pStyle w:val="Compact"/>
        <w:numPr>
          <w:ilvl w:val="0"/>
          <w:numId w:val="1002"/>
        </w:numPr>
      </w:pPr>
      <w:r>
        <w:t xml:space="preserve">Asia and Corporate &amp; Other, which together hold most of the company's VII-sensitive assets, will see the biggest earnings-growth optics hit.</w:t>
      </w:r>
    </w:p>
    <w:p>
      <w:pPr>
        <w:pStyle w:val="FirstParagraph"/>
      </w:pPr>
      <w:r>
        <w:t xml:space="preserve">Investors should be prepared for a headline adjusted-earnings/EPS growth rate well below Q1's, and the call will likely spend real time separating "VII noise" from underlying momentum.</w:t>
      </w:r>
    </w:p>
    <w:bookmarkEnd w:id="11"/>
    <w:bookmarkStart w:id="12" w:name="Xd90d4a5631a58cde5015e8d0082b10acd87af4d"/>
    <w:p>
      <w:pPr>
        <w:pStyle w:val="Heading2"/>
      </w:pPr>
      <w:r>
        <w:t xml:space="preserve">4. Q1 Recap: The Bar-Setter</w:t>
      </w:r>
    </w:p>
    <w:p>
      <w:pPr>
        <w:pStyle w:val="FirstParagraph"/>
      </w:pPr>
      <w:r>
        <w:t xml:space="preserve">Q1 2026 was described by CEO Michel Khalaf as an "excellent quarter" and provides the framework analysts will use to judge Q2's underlying trends:</w:t>
      </w:r>
    </w:p>
    <w:p>
      <w:pPr>
        <w:pStyle w:val="Compact"/>
        <w:numPr>
          <w:ilvl w:val="0"/>
          <w:numId w:val="1003"/>
        </w:numPr>
      </w:pPr>
      <w:r>
        <w:t xml:space="preserve">Adjusted EPS $2.42, +23% YoY; adjusted earnings $1.6B, +18%</w:t>
      </w:r>
    </w:p>
    <w:p>
      <w:pPr>
        <w:pStyle w:val="Compact"/>
        <w:numPr>
          <w:ilvl w:val="0"/>
          <w:numId w:val="1003"/>
        </w:numPr>
      </w:pPr>
      <w:r>
        <w:t xml:space="preserve">Adjusted ROE 17.0%, at the</w:t>
      </w:r>
      <w:r>
        <w:t xml:space="preserve"> </w:t>
      </w:r>
      <w:r>
        <w:rPr>
          <w:b/>
          <w:bCs/>
        </w:rPr>
        <w:t xml:space="preserve">top</w:t>
      </w:r>
      <w:r>
        <w:t xml:space="preserve"> </w:t>
      </w:r>
      <w:r>
        <w:t xml:space="preserve">of the 15–17% New Frontier target range</w:t>
      </w:r>
    </w:p>
    <w:p>
      <w:pPr>
        <w:pStyle w:val="Compact"/>
        <w:numPr>
          <w:ilvl w:val="0"/>
          <w:numId w:val="1003"/>
        </w:numPr>
      </w:pPr>
      <w:r>
        <w:t xml:space="preserve">Direct expense ratio 11.9%, better than the 12.1% full-year target — notable given it absorbed PineBridge's higher cost structure</w:t>
      </w:r>
    </w:p>
    <w:p>
      <w:pPr>
        <w:pStyle w:val="Compact"/>
        <w:numPr>
          <w:ilvl w:val="0"/>
          <w:numId w:val="1003"/>
        </w:numPr>
      </w:pPr>
      <w:r>
        <w:t xml:space="preserve">Broad-based growth: every segment posted higher adjusted earnings (Group Benefits +19%, RIS +11%, Asia +31%, LatAm +5%, EMEA +33%, MIM +68%)</w:t>
      </w:r>
    </w:p>
    <w:p>
      <w:pPr>
        <w:pStyle w:val="Compact"/>
        <w:numPr>
          <w:ilvl w:val="0"/>
          <w:numId w:val="1003"/>
        </w:numPr>
      </w:pPr>
      <m:oMath>
        <m:r>
          <m:t>1.1</m:t>
        </m:r>
        <m:r>
          <m:t>B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t>e</m:t>
        </m:r>
        <m:r>
          <m:t>d</m:t>
        </m:r>
        <m:r>
          <m:t>t</m:t>
        </m:r>
        <m:r>
          <m:t>o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h</m:t>
        </m:r>
        <m:r>
          <m:t>o</m:t>
        </m:r>
        <m:r>
          <m:t>l</m:t>
        </m:r>
        <m:r>
          <m:t>d</m:t>
        </m:r>
        <m:r>
          <m:t>e</m:t>
        </m:r>
        <m:r>
          <m:t>r</m:t>
        </m:r>
        <m:r>
          <m:t>s</m:t>
        </m:r>
        <m:r>
          <m:rPr>
            <m:sty m:val="p"/>
          </m:rPr>
          <m:t>(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rPr>
            <m:sty m:val="p"/>
          </m:rPr>
          <m:t>+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s</m:t>
        </m:r>
        <m:r>
          <m:rPr>
            <m:sty m:val="p"/>
          </m:rPr>
          <m:t>)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p</m:t>
        </m:r>
        <m:r>
          <m:t>l</m:t>
        </m:r>
        <m:r>
          <m:t>u</m:t>
        </m:r>
        <m:r>
          <m:t>s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t> </m:t>
        </m:r>
      </m:oMath>
      <w:r>
        <w:t xml:space="preserve">200M of buybacks in April; dividend raised 4.4%</w:t>
      </w:r>
    </w:p>
    <w:bookmarkEnd w:id="12"/>
    <w:bookmarkStart w:id="13" w:name="Xc56cd3e95d2afad3f991605a8df207da0d6403d"/>
    <w:p>
      <w:pPr>
        <w:pStyle w:val="Heading2"/>
      </w:pPr>
      <w:r>
        <w:t xml:space="preserve">5. Segment Watch List for Q2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Group Benefits:</w:t>
      </w:r>
      <w:r>
        <w:t xml:space="preserve"> </w:t>
      </w:r>
      <w:r>
        <w:t xml:space="preserve">Life mortality has been exceptionally favorable (Q1 group life ratio 80.1% vs. 83–88% target). Management believes this is partly sustainable margin, partly noise (COVID pull-forward, GLP-1 effects). Watch the non-medical health benefit ratio — dental seasonality, elevated LTD severity, and new paid-family-leave programs pushed it above the 70–75% target in Q1; management guided this to</w:t>
      </w:r>
      <w:r>
        <w:t xml:space="preserve"> </w:t>
      </w:r>
      <w:r>
        <w:rPr>
          <w:b/>
          <w:bCs/>
        </w:rPr>
        <w:t xml:space="preserve">moderate in H2</w:t>
      </w:r>
      <w:r>
        <w:t xml:space="preserve">, so Q2 is a transition quarter to watch.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RIS:</w:t>
      </w:r>
      <w:r>
        <w:t xml:space="preserve"> </w:t>
      </w:r>
      <w:r>
        <w:t xml:space="preserve">Core spread ex-VII guided to hold near 95bps or tick slightly higher; total spread likely pressured by the VII shortfall. PRT/longevity reinsurance pipeline (UK funded reinsurance, retail annuity reinsurance) remains a growth story — two reinsurance partners now, $2B of inflows year-to-date in those newer lines.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Asia:</w:t>
      </w:r>
      <w:r>
        <w:t xml:space="preserve"> </w:t>
      </w:r>
      <w:r>
        <w:t xml:space="preserve">Momentum in Japan and Korea has been very strong (sales +22% constant currency in Q1), but management explicitly guided to</w:t>
      </w:r>
      <w:r>
        <w:t xml:space="preserve"> </w:t>
      </w:r>
      <w:r>
        <w:rPr>
          <w:b/>
          <w:bCs/>
        </w:rPr>
        <w:t xml:space="preserve">moderating growth rates</w:t>
      </w:r>
      <w:r>
        <w:t xml:space="preserve"> </w:t>
      </w:r>
      <w:r>
        <w:t xml:space="preserve">off tough comps. Also watch for any commentary on the industry-wide Japan regulatory review of secondment practices — MetLife says it's seen no business impact but is in ongoing (confidential) discussions with the FSA.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Latin America:</w:t>
      </w:r>
      <w:r>
        <w:t xml:space="preserve"> </w:t>
      </w:r>
      <w:r>
        <w:t xml:space="preserve">Reported earnings growth has been dented by Mexico VAT changes and unfavorable tax items (constant-currency earnings were actually down 9% in Q1 despite strong volume). Management reaffirmed a path to</w:t>
      </w:r>
      <w:r>
        <w:t xml:space="preserve"> </w:t>
      </w:r>
      <w:r>
        <w:rPr>
          <w:b/>
          <w:bCs/>
        </w:rPr>
        <w:t xml:space="preserve">$1 billion of annual LatAm earnings</w:t>
      </w:r>
      <w:r>
        <w:t xml:space="preserve">, calling it achievable for 2026.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EMEA:</w:t>
      </w:r>
      <w:r>
        <w:t xml:space="preserve"> </w:t>
      </w:r>
      <w:r>
        <w:t xml:space="preserve">A genuine bright spot — quarterly run-rate guided toward the "middle-to-upper end" of a $90–100M range. Limited direct financial exposure to Middle East conflict risk (management estimates ~1/6 of EMEA earnings from Turkey/Egypt combined) with no impact seen to date.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MetLife Investment Management (MIM):</w:t>
      </w:r>
      <w:r>
        <w:t xml:space="preserve"> </w:t>
      </w:r>
      <w:r>
        <w:t xml:space="preserve">First full quarter with PineBridge integrated; Q1 saw ~$2B of institutional net outflows tied to post-close client activity and market volatility, but management said outflows stabilized late in Q1 and into April, with a "solid pipeline" ahead. Expect commentary on cross-sell progress and expense normalization (Q1 expenses were seasonally elevated).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Corporate &amp; Other:</w:t>
      </w:r>
      <w:r>
        <w:t xml:space="preserve"> </w:t>
      </w:r>
      <w:r>
        <w:t xml:space="preserve">Losses have been widening year-over-year (-</w:t>
      </w:r>
      <m:oMath>
        <m:r>
          <m:t>177</m:t>
        </m:r>
        <m:r>
          <m:t>M</m:t>
        </m:r>
        <m:r>
          <m:t>i</m:t>
        </m:r>
        <m:r>
          <m:t>n</m:t>
        </m:r>
        <m:r>
          <m:t>Q</m:t>
        </m:r>
        <m:r>
          <m:t>1</m:t>
        </m:r>
        <m:r>
          <m:t>v</m:t>
        </m:r>
        <m:r>
          <m:t>s</m:t>
        </m:r>
        <m:r>
          <m:rPr>
            <m:sty m:val="p"/>
          </m:rPr>
          <m:t>−</m:t>
        </m:r>
      </m:oMath>
      <w:r>
        <w:t xml:space="preserve">129M) due to lapping prior-year reinsurance transactions and lower recurring interest margins — a trend to monitor given this segment also carries meaningful VII exposure.</w:t>
      </w:r>
    </w:p>
    <w:bookmarkEnd w:id="13"/>
    <w:bookmarkStart w:id="14" w:name="X951bd3ce9ffd7604179ab4b7e16c9791d384189"/>
    <w:p>
      <w:pPr>
        <w:pStyle w:val="Heading2"/>
      </w:pPr>
      <w:r>
        <w:t xml:space="preserve">6. Capital, Balance Sheet &amp; Litigation</w:t>
      </w:r>
    </w:p>
    <w:p>
      <w:pPr>
        <w:pStyle w:val="Compact"/>
        <w:numPr>
          <w:ilvl w:val="0"/>
          <w:numId w:val="1005"/>
        </w:numPr>
      </w:pPr>
      <w:r>
        <w:t xml:space="preserve">Holding-company cash was $3.9B at Q1-end, at the</w:t>
      </w:r>
      <w:r>
        <w:t xml:space="preserve"> </w:t>
      </w:r>
      <w:r>
        <w:rPr>
          <w:b/>
          <w:bCs/>
        </w:rPr>
        <w:t xml:space="preserve">top</w:t>
      </w:r>
      <w:r>
        <w:t xml:space="preserve"> </w:t>
      </w:r>
      <w:r>
        <w:t xml:space="preserve">of the $3–4B target buffer; free cash flow ratio target remains 65–75% (2025 came in at ~80%).</w:t>
      </w:r>
    </w:p>
    <w:p>
      <w:pPr>
        <w:pStyle w:val="Compact"/>
        <w:numPr>
          <w:ilvl w:val="0"/>
          <w:numId w:val="1005"/>
        </w:numPr>
      </w:pPr>
      <w:r>
        <w:t xml:space="preserve">2026 buyback pace is guided broadly in line with 2025 (~$3B), with $1.1B remaining on the current authorization as of Q1.</w:t>
      </w:r>
    </w:p>
    <w:p>
      <w:pPr>
        <w:pStyle w:val="Compact"/>
        <w:numPr>
          <w:ilvl w:val="0"/>
          <w:numId w:val="1005"/>
        </w:numPr>
      </w:pPr>
      <w:r>
        <w:t xml:space="preserve">U.S. statutory capital metrics remain strong (2025 combined RBC ratio 379% vs. 360% target), though Q1 statutory adjusted capital fell ~5% sequentially on seasonal dividend timing — not a trend concern per management.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Litigation to watch:</w:t>
      </w:r>
      <w:r>
        <w:t xml:space="preserve"> </w:t>
      </w:r>
      <w:r>
        <w:t xml:space="preserve">Sun Life disclosed it may seek ~CAD 200 million of indemnification from MetLife tied to a class-action settlement. CEO Khalaf called the claim "baseless and misleading," noting no legal action has been filed and MetLife disputes any liability. Immaterial in size, but worth a status check on the call.</w:t>
      </w:r>
    </w:p>
    <w:p>
      <w:pPr>
        <w:pStyle w:val="Compact"/>
        <w:numPr>
          <w:ilvl w:val="0"/>
          <w:numId w:val="1005"/>
        </w:numPr>
      </w:pPr>
      <w:r>
        <w:t xml:space="preserve">Board added two new directors (Dan Glaser, Michelle Seitz) in February; governance items were affirmed at the June annual meeting.</w:t>
      </w:r>
    </w:p>
    <w:bookmarkEnd w:id="14"/>
    <w:bookmarkStart w:id="15" w:name="X5769feaf0b6e90c2b7fa36c7257c73ade070c2e"/>
    <w:p>
      <w:pPr>
        <w:pStyle w:val="Heading2"/>
      </w:pPr>
      <w:r>
        <w:t xml:space="preserve">7. Key Questions for Management</w:t>
      </w:r>
    </w:p>
    <w:p>
      <w:pPr>
        <w:pStyle w:val="Compact"/>
        <w:numPr>
          <w:ilvl w:val="0"/>
          <w:numId w:val="1006"/>
        </w:numPr>
      </w:pPr>
      <w:r>
        <w:t xml:space="preserve">How much of the Q2 earnings growth deceleration is purely VII timing versus any softening in core spreads, underwriting, or expense trends?</w:t>
      </w:r>
    </w:p>
    <w:p>
      <w:pPr>
        <w:pStyle w:val="Compact"/>
        <w:numPr>
          <w:ilvl w:val="0"/>
          <w:numId w:val="1006"/>
        </w:numPr>
      </w:pPr>
      <w:r>
        <w:t xml:space="preserve">Is the Group Benefits mortality/underwriting favorability durable, or will pricing competition erode it over coming quarters (management has said any pricing response would play out over years, not quarters)?</w:t>
      </w:r>
    </w:p>
    <w:p>
      <w:pPr>
        <w:pStyle w:val="Compact"/>
        <w:numPr>
          <w:ilvl w:val="0"/>
          <w:numId w:val="1006"/>
        </w:numPr>
      </w:pPr>
      <w:r>
        <w:t xml:space="preserve">Does RIS core spread inflect higher now that Q4's large PRT-driven asset rotation is further behind, or does a persistently flat yield curve keep spreads range-bound near 95bps?</w:t>
      </w:r>
    </w:p>
    <w:p>
      <w:pPr>
        <w:pStyle w:val="Compact"/>
        <w:numPr>
          <w:ilvl w:val="0"/>
          <w:numId w:val="1006"/>
        </w:numPr>
      </w:pPr>
      <w:r>
        <w:t xml:space="preserve">What's the state of MIM/PineBridge net flows — has the pipeline converted into actual net inflows yet?</w:t>
      </w:r>
    </w:p>
    <w:p>
      <w:pPr>
        <w:pStyle w:val="Compact"/>
        <w:numPr>
          <w:ilvl w:val="0"/>
          <w:numId w:val="1006"/>
        </w:numPr>
      </w:pPr>
      <w:r>
        <w:t xml:space="preserve">Any incremental disclosure on the Japan FSA secondment review, or update on the Sun Life indemnification dispute?</w:t>
      </w:r>
    </w:p>
    <w:p>
      <w:pPr>
        <w:pStyle w:val="Compact"/>
        <w:numPr>
          <w:ilvl w:val="0"/>
          <w:numId w:val="1006"/>
        </w:numPr>
      </w:pPr>
      <w:r>
        <w:t xml:space="preserve">Is full-year 2026 guidance (VII ~$1.6B, expense ratio ~12.1%, ROE 15–17%, buybacks in line with 2025) still intact given the Q2 VII shortfall?</w:t>
      </w:r>
    </w:p>
    <w:bookmarkEnd w:id="15"/>
    <w:bookmarkStart w:id="16" w:name="X59a56c4de27670f2623d3582f339eb306b624b0"/>
    <w:p>
      <w:pPr>
        <w:pStyle w:val="Heading2"/>
      </w:pPr>
      <w:r>
        <w:t xml:space="preserve">8. Bottom Line</w:t>
      </w:r>
    </w:p>
    <w:p>
      <w:pPr>
        <w:pStyle w:val="FirstParagraph"/>
      </w:pPr>
      <w:r>
        <w:t xml:space="preserve">MetLife heads into Q2 earnings with the stock near all-time highs, a strong beat-and-raise track record, and broad sell-side support — but also with a</w:t>
      </w:r>
      <w:r>
        <w:t xml:space="preserve"> </w:t>
      </w:r>
      <w:r>
        <w:rPr>
          <w:b/>
          <w:bCs/>
        </w:rPr>
        <w:t xml:space="preserve">known, pre-announced headwind</w:t>
      </w:r>
      <w:r>
        <w:t xml:space="preserve"> </w:t>
      </w:r>
      <w:r>
        <w:t xml:space="preserve">in variable investment income that will make the headline year-over-year growth rate look much softer than Q1's 23% EPS surge. The real test for the print is whether underlying, VII-adjusted fundamentals — Group Benefits margins, RIS core spreads, Asia/LatAm volume growth, EMEA durability, and MIM integration progress — stay on track with the New Frontier targets (double-digit EPS growth, 15–17% ROE, declining expense ratio, 65–75% free cash flow conversion). Given how much good news is already priced into the stock after a ~35% four-month rally, the market's reaction is likely to hinge less on the VII-driven EPS number itself and more on management's tone regarding second-half spread trends, Group Benefits margin durability, and any fresh color on Japan regulatory or Sun Life litigation matters.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2026-08-05T01:38:20Z</dcterms:created>
  <dcterms:modified xsi:type="dcterms:W3CDTF">2026-08-05T01:38:20Z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