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metlife-met-2q26-earnings-preview"/>
    <w:p>
      <w:pPr>
        <w:pStyle w:val="Heading1"/>
      </w:pPr>
      <w:r>
        <w:t xml:space="preserve">MetLife (MET) 2Q26 Earnings Preview</w:t>
      </w:r>
    </w:p>
    <w:p>
      <w:pPr>
        <w:pStyle w:val="BlockText"/>
      </w:pPr>
      <w:r>
        <w:rPr>
          <w:b/>
          <w:bCs/>
        </w:rPr>
        <w:t xml:space="preserve">Timing clarification:</w:t>
      </w:r>
      <w:r>
        <w:t xml:space="preserve"> </w:t>
      </w:r>
      <w:r>
        <w:t xml:space="preserve">MetLife is scheduled to release results</w:t>
      </w:r>
      <w:r>
        <w:t xml:space="preserve"> </w:t>
      </w:r>
      <w:r>
        <w:rPr>
          <w:b/>
          <w:bCs/>
        </w:rPr>
        <w:t xml:space="preserve">today, Wednesday, August 5, 2026, after the market closes</w:t>
      </w:r>
      <w:r>
        <w:t xml:space="preserve">. The earnings call is</w:t>
      </w:r>
      <w:r>
        <w:t xml:space="preserve"> </w:t>
      </w:r>
      <w:r>
        <w:rPr>
          <w:b/>
          <w:bCs/>
        </w:rPr>
        <w:t xml:space="preserve">tomorrow, Thursday, August 6, from 9–10 a.m. ET</w:t>
      </w:r>
      <w:r>
        <w:t xml:space="preserve">. (</w:t>
      </w:r>
      <w:hyperlink r:id="rId9">
        <w:r>
          <w:rPr>
            <w:rStyle w:val="Hyperlink"/>
          </w:rPr>
          <w:t xml:space="preserve">investor.metlife.com</w:t>
        </w:r>
      </w:hyperlink>
      <w:r>
        <w:t xml:space="preserve">)</w:t>
      </w:r>
    </w:p>
    <w:bookmarkStart w:id="10" w:name="investment-view-going-into-the-report"/>
    <w:p>
      <w:pPr>
        <w:pStyle w:val="Heading2"/>
      </w:pPr>
      <w:r>
        <w:t xml:space="preserve">Investment view going into the report</w:t>
      </w:r>
    </w:p>
    <w:p>
      <w:pPr>
        <w:pStyle w:val="FirstParagraph"/>
      </w:pPr>
      <w:r>
        <w:t xml:space="preserve">MetLife enters earnings with strong operating momentum but a substantially higher stock price and one important headwind already disclosed:</w:t>
      </w:r>
      <w:r>
        <w:t xml:space="preserve"> </w:t>
      </w:r>
      <w:r>
        <w:rPr>
          <w:b/>
          <w:bCs/>
        </w:rPr>
        <w:t xml:space="preserve">variable investment income will fall sharply from the exceptional first quarter</w:t>
      </w:r>
      <w:r>
        <w:t xml:space="preserve">.</w:t>
      </w:r>
    </w:p>
    <w:p>
      <w:pPr>
        <w:pStyle w:val="BodyText"/>
      </w:pPr>
      <w:r>
        <w:t xml:space="preserve">The central question is therefore not simply whether MET beats the EPS consensus. Investors will want evidence that underlying earnings—mortality, business growth, recurring investment spreads, expenses and capital returns—can offset lower variable investment income and support management’s longer-term “New Frontier” targets.</w:t>
      </w:r>
    </w:p>
    <w:p>
      <w:pPr>
        <w:pStyle w:val="BodyText"/>
      </w:pPr>
      <w:r>
        <w:t xml:space="preserve">My base expectation is:</w:t>
      </w:r>
    </w:p>
    <w:p>
      <w:pPr>
        <w:pStyle w:val="Compact"/>
        <w:numPr>
          <w:ilvl w:val="0"/>
          <w:numId w:val="1001"/>
        </w:numPr>
      </w:pPr>
      <w:r>
        <w:rPr>
          <w:b/>
          <w:bCs/>
        </w:rPr>
        <w:t xml:space="preserve">Adjusted EPS declines sequentially from Q1’s $2.42 but grows from $2.02 a year ago.</w:t>
      </w:r>
    </w:p>
    <w:p>
      <w:pPr>
        <w:pStyle w:val="Compact"/>
        <w:numPr>
          <w:ilvl w:val="0"/>
          <w:numId w:val="1001"/>
        </w:numPr>
      </w:pPr>
      <w:r>
        <w:t xml:space="preserve">Group Benefits and international volume growth provide the principal offsets to lower investment income.</w:t>
      </w:r>
    </w:p>
    <w:p>
      <w:pPr>
        <w:pStyle w:val="Compact"/>
        <w:numPr>
          <w:ilvl w:val="0"/>
          <w:numId w:val="1001"/>
        </w:numPr>
      </w:pPr>
      <w:r>
        <w:t xml:space="preserve">Management maintains its 2026 operating targets, while emphasizing an expected rebound in variable investment income during the second half.</w:t>
      </w:r>
    </w:p>
    <w:p>
      <w:pPr>
        <w:pStyle w:val="Compact"/>
        <w:numPr>
          <w:ilvl w:val="0"/>
          <w:numId w:val="1001"/>
        </w:numPr>
      </w:pPr>
      <w:r>
        <w:t xml:space="preserve">The market reaction depends heavily on underwriting quality and forward commentary, because MET has already appreciated about</w:t>
      </w:r>
      <w:r>
        <w:t xml:space="preserve"> </w:t>
      </w:r>
      <w:r>
        <w:rPr>
          <w:b/>
          <w:bCs/>
        </w:rPr>
        <w:t xml:space="preserve">22% year to date</w:t>
      </w:r>
      <w:r>
        <w:t xml:space="preserve"> </w:t>
      </w:r>
      <w:r>
        <w:t xml:space="preserve">through August 4.</w:t>
      </w:r>
    </w:p>
    <w:bookmarkEnd w:id="10"/>
    <w:bookmarkStart w:id="13" w:name="earnings-bar"/>
    <w:p>
      <w:pPr>
        <w:pStyle w:val="Heading2"/>
      </w:pPr>
      <w:r>
        <w:t xml:space="preserve">Earnings bar</w:t>
      </w:r>
    </w:p>
    <w:p>
      <w:pPr>
        <w:pStyle w:val="FirstParagraph"/>
      </w:pPr>
      <w:r>
        <w:t xml:space="preserve">Third-party consensus estimates vary, with adjusted EPS forecasts around</w:t>
      </w:r>
      <w:r>
        <w:t xml:space="preserve"> </w:t>
      </w:r>
      <m:oMath>
        <m:r>
          <m:t>2.30</m:t>
        </m:r>
        <m:r>
          <m:rPr>
            <m:sty m:val="p"/>
          </m:rPr>
          <m:t>–</m:t>
        </m:r>
      </m:oMath>
      <w:r>
        <w:rPr>
          <w:b/>
          <w:bCs/>
        </w:rPr>
        <w:t xml:space="preserve">2.37</w:t>
      </w:r>
      <w:r>
        <w:t xml:space="preserve">. Revenue estimates are less useful for an insurer because pension-risk-transfer activity, investment accounting and other items can create large quarterly swings without a corresponding change in underlying profitability. (</w:t>
      </w:r>
      <w:hyperlink r:id="rId11">
        <w:r>
          <w:rPr>
            <w:rStyle w:val="Hyperlink"/>
          </w:rPr>
          <w:t xml:space="preserve">tipranks.com</w:t>
        </w:r>
      </w:hyperlink>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Reference point</w:t>
            </w:r>
          </w:p>
        </w:tc>
      </w:tr>
      <w:tr>
        <w:tc>
          <w:tcPr/>
          <w:p>
            <w:pPr>
              <w:pStyle w:val="Compact"/>
            </w:pPr>
            <w:r>
              <w:t xml:space="preserve">2Q26 adjusted EPS consensus</w:t>
            </w:r>
          </w:p>
        </w:tc>
        <w:tc>
          <w:tcPr/>
          <w:p>
            <w:pPr>
              <w:pStyle w:val="Compact"/>
              <w:jc w:val="right"/>
            </w:pPr>
            <w:r>
              <w:t xml:space="preserve">Approximately</w:t>
            </w:r>
            <w:r>
              <w:t xml:space="preserve"> </w:t>
            </w:r>
            <m:oMath>
              <m:r>
                <m:t>2.30</m:t>
              </m:r>
              <m:r>
                <m:rPr>
                  <m:sty m:val="p"/>
                </m:rPr>
                <m:t>–</m:t>
              </m:r>
            </m:oMath>
            <w:r>
              <w:rPr>
                <w:b/>
                <w:bCs/>
              </w:rPr>
              <w:t xml:space="preserve">2.37</w:t>
            </w:r>
          </w:p>
        </w:tc>
      </w:tr>
      <w:tr>
        <w:tc>
          <w:tcPr/>
          <w:p>
            <w:pPr>
              <w:pStyle w:val="Compact"/>
            </w:pPr>
            <w:r>
              <w:t xml:space="preserve">1Q26 adjusted EPS</w:t>
            </w:r>
          </w:p>
        </w:tc>
        <w:tc>
          <w:tcPr/>
          <w:p>
            <w:pPr>
              <w:pStyle w:val="Compact"/>
              <w:jc w:val="right"/>
            </w:pPr>
            <w:r>
              <w:rPr>
                <w:b/>
                <w:bCs/>
              </w:rPr>
              <w:t xml:space="preserve">$2.42</w:t>
            </w:r>
          </w:p>
        </w:tc>
      </w:tr>
      <w:tr>
        <w:tc>
          <w:tcPr/>
          <w:p>
            <w:pPr>
              <w:pStyle w:val="Compact"/>
            </w:pPr>
            <w:r>
              <w:t xml:space="preserve">2Q25 adjusted EPS</w:t>
            </w:r>
          </w:p>
        </w:tc>
        <w:tc>
          <w:tcPr/>
          <w:p>
            <w:pPr>
              <w:pStyle w:val="Compact"/>
              <w:jc w:val="right"/>
            </w:pPr>
            <w:r>
              <w:rPr>
                <w:b/>
                <w:bCs/>
              </w:rPr>
              <w:t xml:space="preserve">$2.02</w:t>
            </w:r>
          </w:p>
        </w:tc>
      </w:tr>
      <w:tr>
        <w:tc>
          <w:tcPr/>
          <w:p>
            <w:pPr>
              <w:pStyle w:val="Compact"/>
            </w:pPr>
            <w:r>
              <w:t xml:space="preserve">1Q26 adjusted earnings</w:t>
            </w:r>
          </w:p>
        </w:tc>
        <w:tc>
          <w:tcPr/>
          <w:p>
            <w:pPr>
              <w:pStyle w:val="Compact"/>
              <w:jc w:val="right"/>
            </w:pPr>
            <w:r>
              <w:rPr>
                <w:b/>
                <w:bCs/>
              </w:rPr>
              <w:t xml:space="preserve">$1.59 billion</w:t>
            </w:r>
          </w:p>
        </w:tc>
      </w:tr>
      <w:tr>
        <w:tc>
          <w:tcPr/>
          <w:p>
            <w:pPr>
              <w:pStyle w:val="Compact"/>
            </w:pPr>
            <w:r>
              <w:t xml:space="preserve">1Q26 adjusted ROE</w:t>
            </w:r>
          </w:p>
        </w:tc>
        <w:tc>
          <w:tcPr/>
          <w:p>
            <w:pPr>
              <w:pStyle w:val="Compact"/>
              <w:jc w:val="right"/>
            </w:pPr>
            <w:r>
              <w:rPr>
                <w:b/>
                <w:bCs/>
              </w:rPr>
              <w:t xml:space="preserve">17.0%</w:t>
            </w:r>
          </w:p>
        </w:tc>
      </w:tr>
      <w:tr>
        <w:tc>
          <w:tcPr/>
          <w:p>
            <w:pPr>
              <w:pStyle w:val="Compact"/>
            </w:pPr>
            <w:r>
              <w:t xml:space="preserve">1Q26 direct expense ratio</w:t>
            </w:r>
          </w:p>
        </w:tc>
        <w:tc>
          <w:tcPr/>
          <w:p>
            <w:pPr>
              <w:pStyle w:val="Compact"/>
              <w:jc w:val="right"/>
            </w:pPr>
            <w:r>
              <w:rPr>
                <w:b/>
                <w:bCs/>
              </w:rPr>
              <w:t xml:space="preserve">11.9%</w:t>
            </w:r>
          </w:p>
        </w:tc>
      </w:tr>
      <w:tr>
        <w:tc>
          <w:tcPr/>
          <w:p>
            <w:pPr>
              <w:pStyle w:val="Compact"/>
            </w:pPr>
            <w:r>
              <w:t xml:space="preserve">2026 direct expense-ratio target</w:t>
            </w:r>
          </w:p>
        </w:tc>
        <w:tc>
          <w:tcPr/>
          <w:p>
            <w:pPr>
              <w:pStyle w:val="Compact"/>
              <w:jc w:val="right"/>
            </w:pPr>
            <w:r>
              <w:rPr>
                <w:b/>
                <w:bCs/>
              </w:rPr>
              <w:t xml:space="preserve">12.1%</w:t>
            </w:r>
          </w:p>
        </w:tc>
      </w:tr>
    </w:tbl>
    <w:p>
      <w:pPr>
        <w:pStyle w:val="BodyText"/>
      </w:pPr>
      <w:r>
        <w:t xml:space="preserve">MetLife’s first quarter was unusually strong: adjusted EPS rose 23%, adjusted premiums, fees and other revenues excluding pension-risk transfers rose 10%, and every operating segment generated year-over-year earnings growth. (</w:t>
      </w:r>
      <w:hyperlink r:id="rId12">
        <w:r>
          <w:rPr>
            <w:rStyle w:val="Hyperlink"/>
          </w:rPr>
          <w:t xml:space="preserve">metlife.com</w:t>
        </w:r>
      </w:hyperlink>
      <w:r>
        <w:t xml:space="preserve">)</w:t>
      </w:r>
    </w:p>
    <w:bookmarkEnd w:id="13"/>
    <w:bookmarkStart w:id="15" w:name="X1d0404a70b20b5a2e7549e7d3ff3f1121368e6a"/>
    <w:p>
      <w:pPr>
        <w:pStyle w:val="Heading2"/>
      </w:pPr>
      <w:r>
        <w:t xml:space="preserve">1. Variable investment income is the known headwind</w:t>
      </w:r>
    </w:p>
    <w:p>
      <w:pPr>
        <w:pStyle w:val="FirstParagraph"/>
      </w:pPr>
      <w:r>
        <w:t xml:space="preserve">MetLife has preannounced</w:t>
      </w:r>
      <w:r>
        <w:t xml:space="preserve"> </w:t>
      </w:r>
      <w:r>
        <w:rPr>
          <w:b/>
          <w:bCs/>
        </w:rPr>
        <w:t xml:space="preserve">2Q variable investment income of</w:t>
      </w:r>
      <w:r>
        <w:rPr>
          <w:b/>
          <w:bCs/>
        </w:rPr>
        <w:t xml:space="preserve"> </w:t>
      </w:r>
      <m:oMath>
        <m:r>
          <m:t>220</m:t>
        </m:r>
        <m:r>
          <m:t>m</m:t>
        </m:r>
        <m:r>
          <m:t>i</m:t>
        </m:r>
        <m:r>
          <m:t>l</m:t>
        </m:r>
        <m:r>
          <m:t>l</m:t>
        </m:r>
        <m:r>
          <m:t>i</m:t>
        </m:r>
        <m:r>
          <m:t>o</m:t>
        </m:r>
        <m:r>
          <m:t>n</m:t>
        </m:r>
        <m:r>
          <m:rPr>
            <m:sty m:val="p"/>
          </m:rPr>
          <m:t>–</m:t>
        </m:r>
      </m:oMath>
      <w:r>
        <w:rPr>
          <w:b/>
          <w:bCs/>
        </w:rPr>
        <w:t xml:space="preserve">270 million pretax</w:t>
      </w:r>
      <w:r>
        <w:t xml:space="preserve">, versus:</w:t>
      </w:r>
    </w:p>
    <w:p>
      <w:pPr>
        <w:pStyle w:val="Compact"/>
        <w:numPr>
          <w:ilvl w:val="0"/>
          <w:numId w:val="1002"/>
        </w:numPr>
      </w:pPr>
      <w:r>
        <w:rPr>
          <w:b/>
          <w:bCs/>
        </w:rPr>
        <w:t xml:space="preserve">$518 million</w:t>
      </w:r>
      <w:r>
        <w:t xml:space="preserve"> </w:t>
      </w:r>
      <w:r>
        <w:t xml:space="preserve">in 1Q26;</w:t>
      </w:r>
    </w:p>
    <w:p>
      <w:pPr>
        <w:pStyle w:val="Compact"/>
        <w:numPr>
          <w:ilvl w:val="0"/>
          <w:numId w:val="1002"/>
        </w:numPr>
      </w:pPr>
      <w:r>
        <w:rPr>
          <w:b/>
          <w:bCs/>
        </w:rPr>
        <w:t xml:space="preserve">$195 million</w:t>
      </w:r>
      <w:r>
        <w:t xml:space="preserve"> </w:t>
      </w:r>
      <w:r>
        <w:t xml:space="preserve">in 2Q25; and</w:t>
      </w:r>
    </w:p>
    <w:p>
      <w:pPr>
        <w:pStyle w:val="Compact"/>
        <w:numPr>
          <w:ilvl w:val="0"/>
          <w:numId w:val="1002"/>
        </w:numPr>
      </w:pPr>
      <w:r>
        <w:t xml:space="preserve">approximately</w:t>
      </w:r>
      <w:r>
        <w:t xml:space="preserve"> </w:t>
      </w:r>
      <m:oMath>
        <m:r>
          <m:t>400</m:t>
        </m:r>
        <m:r>
          <m:t>m</m:t>
        </m:r>
        <m:r>
          <m:t>i</m:t>
        </m:r>
        <m:r>
          <m:t>l</m:t>
        </m:r>
        <m:r>
          <m:t>l</m:t>
        </m:r>
        <m:r>
          <m:t>i</m:t>
        </m:r>
        <m:r>
          <m:t>o</m:t>
        </m:r>
        <m:r>
          <m:t>n</m:t>
        </m:r>
        <m:r>
          <m:t>p</m:t>
        </m:r>
        <m:r>
          <m:t>e</m:t>
        </m:r>
        <m:r>
          <m:t>r</m:t>
        </m:r>
        <m:r>
          <m:t>q</m:t>
        </m:r>
        <m:r>
          <m:t>u</m:t>
        </m:r>
        <m:r>
          <m:t>a</m:t>
        </m:r>
        <m:r>
          <m:t>r</m:t>
        </m:r>
        <m:r>
          <m:t>t</m:t>
        </m:r>
        <m:r>
          <m:t>e</m:t>
        </m:r>
        <m:r>
          <m:t>r</m:t>
        </m:r>
        <m:r>
          <m:rPr>
            <m:sty m:val="p"/>
          </m:rPr>
          <m:t>*</m:t>
        </m:r>
        <m:r>
          <m:rPr>
            <m:sty m:val="p"/>
          </m:rPr>
          <m:t>*</m:t>
        </m:r>
        <m:r>
          <m:t>i</m:t>
        </m:r>
        <m:r>
          <m:t>m</m:t>
        </m:r>
        <m:r>
          <m:t>p</m:t>
        </m:r>
        <m:r>
          <m:t>l</m:t>
        </m:r>
        <m:r>
          <m:t>i</m:t>
        </m:r>
        <m:r>
          <m:t>e</m:t>
        </m:r>
        <m:r>
          <m:t>d</m:t>
        </m:r>
        <m:r>
          <m:t>b</m:t>
        </m:r>
        <m:r>
          <m:t>y</m:t>
        </m:r>
        <m:r>
          <m:t>i</m:t>
        </m:r>
        <m:r>
          <m:t>t</m:t>
        </m:r>
        <m:r>
          <m:t>s</m:t>
        </m:r>
        <m:r>
          <m:rPr>
            <m:sty m:val="p"/>
          </m:rPr>
          <m:t>*</m:t>
        </m:r>
        <m:r>
          <m:rPr>
            <m:sty m:val="p"/>
          </m:rPr>
          <m:t>*</m:t>
        </m:r>
      </m:oMath>
      <w:r>
        <w:rPr>
          <w:b/>
          <w:bCs/>
        </w:rPr>
        <w:t xml:space="preserve">1.6 billion full-year outlook</w:t>
      </w:r>
      <w:r>
        <w:t xml:space="preserve">.</w:t>
      </w:r>
    </w:p>
    <w:p>
      <w:pPr>
        <w:pStyle w:val="FirstParagraph"/>
      </w:pPr>
      <w:r>
        <w:t xml:space="preserve">Thus, VII should improve year over year but decline by roughly</w:t>
      </w:r>
      <w:r>
        <w:t xml:space="preserve"> </w:t>
      </w:r>
      <m:oMath>
        <m:r>
          <m:t>250</m:t>
        </m:r>
        <m:r>
          <m:t>m</m:t>
        </m:r>
        <m:r>
          <m:t>i</m:t>
        </m:r>
        <m:r>
          <m:t>l</m:t>
        </m:r>
        <m:r>
          <m:t>l</m:t>
        </m:r>
        <m:r>
          <m:t>i</m:t>
        </m:r>
        <m:r>
          <m:t>o</m:t>
        </m:r>
        <m:r>
          <m:t>n</m:t>
        </m:r>
        <m:r>
          <m:rPr>
            <m:sty m:val="p"/>
          </m:rPr>
          <m:t>–</m:t>
        </m:r>
      </m:oMath>
      <w:r>
        <w:t xml:space="preserve">300 million sequentially. At the midpoint, that is an estimated</w:t>
      </w:r>
      <w:r>
        <w:t xml:space="preserve"> </w:t>
      </w:r>
      <w:r>
        <w:rPr>
          <w:b/>
          <w:bCs/>
        </w:rPr>
        <w:t xml:space="preserve">$0.33 per-share sequential headwind</w:t>
      </w:r>
      <w:r>
        <w:t xml:space="preserve">, assuming a 21% tax rate and approximately 650 million diluted shares. (</w:t>
      </w:r>
      <w:hyperlink r:id="rId14">
        <w:r>
          <w:rPr>
            <w:rStyle w:val="Hyperlink"/>
          </w:rPr>
          <w:t xml:space="preserve">sec.gov</w:t>
        </w:r>
      </w:hyperlink>
      <w:r>
        <w:t xml:space="preserve">)</w:t>
      </w:r>
    </w:p>
    <w:p>
      <w:pPr>
        <w:pStyle w:val="BodyText"/>
      </w:pPr>
      <w:r>
        <w:t xml:space="preserve">At the</w:t>
      </w:r>
      <w:r>
        <w:t xml:space="preserve"> </w:t>
      </w:r>
      <m:oMath>
        <m:r>
          <m:t>245</m:t>
        </m:r>
        <m:r>
          <m:t>m</m:t>
        </m:r>
        <m:r>
          <m:t>i</m:t>
        </m:r>
        <m:r>
          <m:t>l</m:t>
        </m:r>
        <m:r>
          <m:t>l</m:t>
        </m:r>
        <m:r>
          <m:t>i</m:t>
        </m:r>
        <m:r>
          <m:t>o</m:t>
        </m:r>
        <m:r>
          <m:t>n</m:t>
        </m:r>
        <m:r>
          <m:t>m</m:t>
        </m:r>
        <m:r>
          <m:t>i</m:t>
        </m:r>
        <m:r>
          <m:t>d</m:t>
        </m:r>
        <m:r>
          <m:t>p</m:t>
        </m:r>
        <m:r>
          <m:t>o</m:t>
        </m:r>
        <m:r>
          <m:t>i</m:t>
        </m:r>
        <m:r>
          <m:t>n</m:t>
        </m:r>
        <m:r>
          <m:t>t</m:t>
        </m:r>
        <m:r>
          <m:rPr>
            <m:sty m:val="p"/>
          </m:rPr>
          <m:t>,</m:t>
        </m:r>
        <m:r>
          <m:t>f</m:t>
        </m:r>
        <m:r>
          <m:t>i</m:t>
        </m:r>
        <m:r>
          <m:t>r</m:t>
        </m:r>
        <m:r>
          <m:t>s</m:t>
        </m:r>
        <m:r>
          <m:t>t</m:t>
        </m:r>
        <m:r>
          <m:rPr>
            <m:sty m:val="p"/>
          </m:rPr>
          <m:t>−</m:t>
        </m:r>
        <m:r>
          <m:t>h</m:t>
        </m:r>
        <m:r>
          <m:t>a</m:t>
        </m:r>
        <m:r>
          <m:t>l</m:t>
        </m:r>
        <m:r>
          <m:t>f</m:t>
        </m:r>
        <m:r>
          <m:t>V</m:t>
        </m:r>
        <m:r>
          <m:t>I</m:t>
        </m:r>
        <m:r>
          <m:t>I</m:t>
        </m:r>
        <m:r>
          <m:t>w</m:t>
        </m:r>
        <m:r>
          <m:t>o</m:t>
        </m:r>
        <m:r>
          <m:t>u</m:t>
        </m:r>
        <m:r>
          <m:t>l</m:t>
        </m:r>
        <m:r>
          <m:t>d</m:t>
        </m:r>
        <m:r>
          <m:t>t</m:t>
        </m:r>
        <m:r>
          <m:t>o</m:t>
        </m:r>
        <m:r>
          <m:t>t</m:t>
        </m:r>
        <m:r>
          <m:t>a</m:t>
        </m:r>
        <m:r>
          <m:t>l</m:t>
        </m:r>
        <m:r>
          <m:t>a</m:t>
        </m:r>
        <m:r>
          <m:t>p</m:t>
        </m:r>
        <m:r>
          <m:t>p</m:t>
        </m:r>
        <m:r>
          <m:t>r</m:t>
        </m:r>
        <m:r>
          <m:t>o</m:t>
        </m:r>
        <m:r>
          <m:t>x</m:t>
        </m:r>
        <m:r>
          <m:t>i</m:t>
        </m:r>
        <m:r>
          <m:t>m</m:t>
        </m:r>
        <m:r>
          <m:t>a</m:t>
        </m:r>
        <m:r>
          <m:t>t</m:t>
        </m:r>
        <m:r>
          <m:t>e</m:t>
        </m:r>
        <m:r>
          <m:t>l</m:t>
        </m:r>
        <m:r>
          <m:t>y</m:t>
        </m:r>
        <m:r>
          <m:rPr>
            <m:sty m:val="p"/>
          </m:rPr>
          <m:t>*</m:t>
        </m:r>
        <m:r>
          <m:rPr>
            <m:sty m:val="p"/>
          </m:rPr>
          <m:t>*</m:t>
        </m:r>
      </m:oMath>
      <w:r>
        <w:t xml:space="preserve">763 million**. MetLife would then need about</w:t>
      </w:r>
      <w:r>
        <w:t xml:space="preserve"> </w:t>
      </w:r>
      <m:oMath>
        <m:r>
          <m:t>837</m:t>
        </m:r>
        <m:r>
          <m:t>m</m:t>
        </m:r>
        <m:r>
          <m:t>i</m:t>
        </m:r>
        <m:r>
          <m:t>l</m:t>
        </m:r>
        <m:r>
          <m:t>l</m:t>
        </m:r>
        <m:r>
          <m:t>i</m:t>
        </m:r>
        <m:r>
          <m:t>o</m:t>
        </m:r>
        <m:r>
          <m:t>n</m:t>
        </m:r>
        <m:r>
          <m:t>i</m:t>
        </m:r>
        <m:r>
          <m:t>n</m:t>
        </m:r>
        <m:r>
          <m:t>t</m:t>
        </m:r>
        <m:r>
          <m:t>h</m:t>
        </m:r>
        <m:r>
          <m:t>e</m:t>
        </m:r>
        <m:r>
          <m:t>s</m:t>
        </m:r>
        <m:r>
          <m:t>e</m:t>
        </m:r>
        <m:r>
          <m:t>c</m:t>
        </m:r>
        <m:r>
          <m:t>o</m:t>
        </m:r>
        <m:r>
          <m:t>n</m:t>
        </m:r>
        <m:r>
          <m:t>d</m:t>
        </m:r>
        <m:r>
          <m:t>h</m:t>
        </m:r>
        <m:r>
          <m:t>a</m:t>
        </m:r>
        <m:r>
          <m:t>l</m:t>
        </m:r>
        <m:r>
          <m:t>f</m:t>
        </m:r>
        <m:r>
          <m:rPr>
            <m:sty m:val="p"/>
          </m:rPr>
          <m:t>*</m:t>
        </m:r>
        <m:r>
          <m:rPr>
            <m:sty m:val="p"/>
          </m:rPr>
          <m:t>*</m:t>
        </m:r>
        <m:r>
          <m:rPr>
            <m:sty m:val="p"/>
          </m:rPr>
          <m:t>,</m:t>
        </m:r>
        <m:r>
          <m:t>o</m:t>
        </m:r>
        <m:r>
          <m:t>r</m:t>
        </m:r>
        <m:r>
          <m:t>r</m:t>
        </m:r>
        <m:r>
          <m:t>o</m:t>
        </m:r>
        <m:r>
          <m:t>u</m:t>
        </m:r>
        <m:r>
          <m:t>g</m:t>
        </m:r>
        <m:r>
          <m:t>h</m:t>
        </m:r>
        <m:r>
          <m:t>l</m:t>
        </m:r>
        <m:r>
          <m:t>y</m:t>
        </m:r>
        <m:r>
          <m:rPr>
            <m:sty m:val="p"/>
          </m:rPr>
          <m:t>*</m:t>
        </m:r>
        <m:r>
          <m:rPr>
            <m:sty m:val="p"/>
          </m:rPr>
          <m:t>*</m:t>
        </m:r>
      </m:oMath>
      <w:r>
        <w:rPr>
          <w:b/>
          <w:bCs/>
        </w:rPr>
        <w:t xml:space="preserve">419 million per quarter</w:t>
      </w:r>
      <w:r>
        <w:t xml:space="preserve">, to reach its full-year assumption.</w:t>
      </w:r>
    </w:p>
    <w:p>
      <w:pPr>
        <w:pStyle w:val="BodyText"/>
      </w:pPr>
      <w:r>
        <w:t xml:space="preserve">That requirement is meaningful but achievable. At a June investor conference, CFO John McCallion said the weaker Q2 setup could be followed by a stronger Q3, citing improved markets, technology valuations, IPO activity and MetLife’s venture-capital exposure.</w:t>
      </w:r>
    </w:p>
    <w:p>
      <w:pPr>
        <w:pStyle w:val="BodyText"/>
      </w:pPr>
      <w:r>
        <w:rPr>
          <w:b/>
          <w:bCs/>
        </w:rPr>
        <w:t xml:space="preserve">What matters:</w:t>
      </w:r>
    </w:p>
    <w:p>
      <w:pPr>
        <w:pStyle w:val="Compact"/>
        <w:numPr>
          <w:ilvl w:val="0"/>
          <w:numId w:val="1003"/>
        </w:numPr>
      </w:pPr>
      <w:r>
        <w:t xml:space="preserve">Where actual VII falls within the</w:t>
      </w:r>
      <w:r>
        <w:t xml:space="preserve"> </w:t>
      </w:r>
      <m:oMath>
        <m:r>
          <m:t>220</m:t>
        </m:r>
        <m:r>
          <m:t>m</m:t>
        </m:r>
        <m:r>
          <m:t>i</m:t>
        </m:r>
        <m:r>
          <m:t>l</m:t>
        </m:r>
        <m:r>
          <m:t>l</m:t>
        </m:r>
        <m:r>
          <m:t>i</m:t>
        </m:r>
        <m:r>
          <m:t>o</m:t>
        </m:r>
        <m:r>
          <m:t>n</m:t>
        </m:r>
        <m:r>
          <m:rPr>
            <m:sty m:val="p"/>
          </m:rPr>
          <m:t>–</m:t>
        </m:r>
      </m:oMath>
      <w:r>
        <w:t xml:space="preserve">270 million range.</w:t>
      </w:r>
    </w:p>
    <w:p>
      <w:pPr>
        <w:pStyle w:val="Compact"/>
        <w:numPr>
          <w:ilvl w:val="0"/>
          <w:numId w:val="1003"/>
        </w:numPr>
      </w:pPr>
      <w:r>
        <w:t xml:space="preserve">Whether management continues to express confidence in the $1.6 billion full-year assumption.</w:t>
      </w:r>
    </w:p>
    <w:p>
      <w:pPr>
        <w:pStyle w:val="Compact"/>
        <w:numPr>
          <w:ilvl w:val="0"/>
          <w:numId w:val="1003"/>
        </w:numPr>
      </w:pPr>
      <w:r>
        <w:t xml:space="preserve">Any updated commentary on private-equity, venture-capital and real-estate fund returns.</w:t>
      </w:r>
    </w:p>
    <w:p>
      <w:pPr>
        <w:pStyle w:val="Compact"/>
        <w:numPr>
          <w:ilvl w:val="0"/>
          <w:numId w:val="1003"/>
        </w:numPr>
      </w:pPr>
      <w:r>
        <w:t xml:space="preserve">Whether investors should treat the expected second-half rebound as normal portfolio performance or as dependent on supportive markets.</w:t>
      </w:r>
    </w:p>
    <w:p>
      <w:pPr>
        <w:pStyle w:val="FirstParagraph"/>
      </w:pPr>
      <w:r>
        <w:t xml:space="preserve">A result at the low end is already partly telegraphed. The larger risk would be management sounding less confident about the second-half recovery.</w:t>
      </w:r>
    </w:p>
    <w:bookmarkEnd w:id="15"/>
    <w:bookmarkStart w:id="16" w:name="X138e7e5f18e4ecde0b6101c076f808c63ae7286"/>
    <w:p>
      <w:pPr>
        <w:pStyle w:val="Heading2"/>
      </w:pPr>
      <w:r>
        <w:t xml:space="preserve">2. Group Benefits underwriting may determine earnings quality</w:t>
      </w:r>
    </w:p>
    <w:p>
      <w:pPr>
        <w:pStyle w:val="FirstParagraph"/>
      </w:pPr>
      <w:r>
        <w:t xml:space="preserve">Group Benefits was one of the strongest features of Q1:</w:t>
      </w:r>
    </w:p>
    <w:p>
      <w:pPr>
        <w:pStyle w:val="Compact"/>
        <w:numPr>
          <w:ilvl w:val="0"/>
          <w:numId w:val="1004"/>
        </w:numPr>
      </w:pPr>
      <w:r>
        <w:t xml:space="preserve">Adjusted earnings rose 19% to</w:t>
      </w:r>
      <w:r>
        <w:t xml:space="preserve"> </w:t>
      </w:r>
      <w:r>
        <w:rPr>
          <w:b/>
          <w:bCs/>
        </w:rPr>
        <w:t xml:space="preserve">$439 million</w:t>
      </w:r>
      <w:r>
        <w:t xml:space="preserve">.</w:t>
      </w:r>
    </w:p>
    <w:p>
      <w:pPr>
        <w:pStyle w:val="Compact"/>
        <w:numPr>
          <w:ilvl w:val="0"/>
          <w:numId w:val="1004"/>
        </w:numPr>
      </w:pPr>
      <w:r>
        <w:t xml:space="preserve">The group-life mortality ratio was</w:t>
      </w:r>
      <w:r>
        <w:t xml:space="preserve"> </w:t>
      </w:r>
      <w:r>
        <w:rPr>
          <w:b/>
          <w:bCs/>
        </w:rPr>
        <w:t xml:space="preserve">80.1%</w:t>
      </w:r>
      <w:r>
        <w:t xml:space="preserve">, substantially better than the company’s</w:t>
      </w:r>
      <w:r>
        <w:t xml:space="preserve"> </w:t>
      </w:r>
      <w:r>
        <w:rPr>
          <w:b/>
          <w:bCs/>
        </w:rPr>
        <w:t xml:space="preserve">83%–88% full-year target range</w:t>
      </w:r>
      <w:r>
        <w:t xml:space="preserve">.</w:t>
      </w:r>
    </w:p>
    <w:p>
      <w:pPr>
        <w:pStyle w:val="Compact"/>
        <w:numPr>
          <w:ilvl w:val="0"/>
          <w:numId w:val="1004"/>
        </w:numPr>
      </w:pPr>
      <w:r>
        <w:t xml:space="preserve">Sales increased 15%.</w:t>
      </w:r>
    </w:p>
    <w:p>
      <w:pPr>
        <w:pStyle w:val="Compact"/>
        <w:numPr>
          <w:ilvl w:val="0"/>
          <w:numId w:val="1004"/>
        </w:numPr>
      </w:pPr>
      <w:r>
        <w:t xml:space="preserve">Revenue excluding participating contracts grew slightly more than 4%.</w:t>
      </w:r>
    </w:p>
    <w:p>
      <w:pPr>
        <w:pStyle w:val="FirstParagraph"/>
      </w:pPr>
      <w:r>
        <w:t xml:space="preserve">Management attributed the life result to favorable working-age mortality, a light flu season, approximately two points of favorable prior-period development and modestly favorable severity. At the June investor conference, the CFO indicated that favorable mortality would probably continue through the year.</w:t>
      </w:r>
    </w:p>
    <w:p>
      <w:pPr>
        <w:pStyle w:val="BodyText"/>
      </w:pPr>
      <w:r>
        <w:t xml:space="preserve">The offset is non-medical health. Its benefit ratio was</w:t>
      </w:r>
      <w:r>
        <w:t xml:space="preserve"> </w:t>
      </w:r>
      <w:r>
        <w:rPr>
          <w:b/>
          <w:bCs/>
        </w:rPr>
        <w:t xml:space="preserve">75.8%</w:t>
      </w:r>
      <w:r>
        <w:t xml:space="preserve"> </w:t>
      </w:r>
      <w:r>
        <w:t xml:space="preserve">in Q1, above the</w:t>
      </w:r>
      <w:r>
        <w:t xml:space="preserve"> </w:t>
      </w:r>
      <w:r>
        <w:rPr>
          <w:b/>
          <w:bCs/>
        </w:rPr>
        <w:t xml:space="preserve">70%–75% target range</w:t>
      </w:r>
      <w:r>
        <w:t xml:space="preserve">, reflecting:</w:t>
      </w:r>
    </w:p>
    <w:p>
      <w:pPr>
        <w:pStyle w:val="Compact"/>
        <w:numPr>
          <w:ilvl w:val="0"/>
          <w:numId w:val="1005"/>
        </w:numPr>
      </w:pPr>
      <w:r>
        <w:t xml:space="preserve">Seasonally elevated dental utilization;</w:t>
      </w:r>
    </w:p>
    <w:p>
      <w:pPr>
        <w:pStyle w:val="Compact"/>
        <w:numPr>
          <w:ilvl w:val="0"/>
          <w:numId w:val="1005"/>
        </w:numPr>
      </w:pPr>
      <w:r>
        <w:t xml:space="preserve">Initial claims from new state paid-family-leave programs; and</w:t>
      </w:r>
    </w:p>
    <w:p>
      <w:pPr>
        <w:pStyle w:val="Compact"/>
        <w:numPr>
          <w:ilvl w:val="0"/>
          <w:numId w:val="1005"/>
        </w:numPr>
      </w:pPr>
      <w:r>
        <w:t xml:space="preserve">Higher long-term-disability severity.</w:t>
      </w:r>
    </w:p>
    <w:p>
      <w:pPr>
        <w:pStyle w:val="FirstParagraph"/>
      </w:pPr>
      <w:r>
        <w:t xml:space="preserve">Management previously expected dental and paid-leave pressure to moderate principally in the second half. That means Q2 could remain mixed even if life mortality stays favorable.</w:t>
      </w:r>
    </w:p>
    <w:p>
      <w:pPr>
        <w:pStyle w:val="BodyText"/>
      </w:pPr>
      <w:r>
        <w:rPr>
          <w:b/>
          <w:bCs/>
        </w:rPr>
        <w:t xml:space="preserve">Key questions:</w:t>
      </w:r>
    </w:p>
    <w:p>
      <w:pPr>
        <w:pStyle w:val="Compact"/>
        <w:numPr>
          <w:ilvl w:val="0"/>
          <w:numId w:val="1006"/>
        </w:numPr>
      </w:pPr>
      <w:r>
        <w:t xml:space="preserve">Did group-life mortality remain below the target range?</w:t>
      </w:r>
    </w:p>
    <w:p>
      <w:pPr>
        <w:pStyle w:val="Compact"/>
        <w:numPr>
          <w:ilvl w:val="0"/>
          <w:numId w:val="1006"/>
        </w:numPr>
      </w:pPr>
      <w:r>
        <w:t xml:space="preserve">Did disability severity stabilize?</w:t>
      </w:r>
    </w:p>
    <w:p>
      <w:pPr>
        <w:pStyle w:val="Compact"/>
        <w:numPr>
          <w:ilvl w:val="0"/>
          <w:numId w:val="1006"/>
        </w:numPr>
      </w:pPr>
      <w:r>
        <w:t xml:space="preserve">Is paid-family-leave experience developing as expected?</w:t>
      </w:r>
    </w:p>
    <w:p>
      <w:pPr>
        <w:pStyle w:val="Compact"/>
        <w:numPr>
          <w:ilvl w:val="0"/>
          <w:numId w:val="1006"/>
        </w:numPr>
      </w:pPr>
      <w:r>
        <w:t xml:space="preserve">Is dental repricing beginning to improve margins?</w:t>
      </w:r>
    </w:p>
    <w:p>
      <w:pPr>
        <w:pStyle w:val="Compact"/>
        <w:numPr>
          <w:ilvl w:val="0"/>
          <w:numId w:val="1006"/>
        </w:numPr>
      </w:pPr>
      <w:r>
        <w:t xml:space="preserve">Can management maintain aggregate Group Benefits profitability even if favorable life results eventually feed into more competitive pricing?</w:t>
      </w:r>
    </w:p>
    <w:p>
      <w:pPr>
        <w:pStyle w:val="FirstParagraph"/>
      </w:pPr>
      <w:r>
        <w:t xml:space="preserve">A strong Group Benefits quarter driven by both life and improving non-medical health would be more valuable than an EPS beat primarily driven by reserve development.</w:t>
      </w:r>
    </w:p>
    <w:bookmarkEnd w:id="16"/>
    <w:bookmarkStart w:id="17" w:name="X77f1a86bb9dd92651a6ef407e563f7a47319c0d"/>
    <w:p>
      <w:pPr>
        <w:pStyle w:val="Heading2"/>
      </w:pPr>
      <w:r>
        <w:t xml:space="preserve">3. RIS: underlying spread and volume are more important than headline sales</w:t>
      </w:r>
    </w:p>
    <w:p>
      <w:pPr>
        <w:pStyle w:val="FirstParagraph"/>
      </w:pPr>
      <w:r>
        <w:t xml:space="preserve">Retirement and Income Solutions produced</w:t>
      </w:r>
      <w:r>
        <w:t xml:space="preserve"> </w:t>
      </w:r>
      <m:oMath>
        <m:r>
          <m:t>451</m:t>
        </m:r>
        <m:r>
          <m:t>m</m:t>
        </m:r>
        <m:r>
          <m:t>i</m:t>
        </m:r>
        <m:r>
          <m:t>l</m:t>
        </m:r>
        <m:r>
          <m:t>l</m:t>
        </m:r>
        <m:r>
          <m:t>i</m:t>
        </m:r>
        <m:r>
          <m:t>o</m:t>
        </m:r>
        <m:r>
          <m:t>n</m:t>
        </m:r>
        <m:r>
          <m:rPr>
            <m:sty m:val="p"/>
          </m:rPr>
          <m:t>*</m:t>
        </m:r>
        <m:r>
          <m:rPr>
            <m:sty m:val="p"/>
          </m:rPr>
          <m:t>*</m:t>
        </m:r>
        <m:r>
          <m:t>o</m:t>
        </m:r>
        <m:r>
          <m:t>f</m:t>
        </m:r>
        <m:r>
          <m:t>a</m:t>
        </m:r>
        <m:r>
          <m:t>d</m:t>
        </m:r>
        <m:r>
          <m:t>j</m:t>
        </m:r>
        <m:r>
          <m:t>u</m:t>
        </m:r>
        <m:r>
          <m:t>s</m:t>
        </m:r>
        <m:r>
          <m:t>t</m:t>
        </m:r>
        <m:r>
          <m:t>e</m:t>
        </m:r>
        <m:r>
          <m:t>d</m:t>
        </m:r>
        <m:r>
          <m:t>e</m:t>
        </m:r>
        <m:r>
          <m:t>a</m:t>
        </m:r>
        <m:r>
          <m:t>r</m:t>
        </m:r>
        <m:r>
          <m:t>n</m:t>
        </m:r>
        <m:r>
          <m:t>i</m:t>
        </m:r>
        <m:r>
          <m:t>n</m:t>
        </m:r>
        <m:r>
          <m:t>g</m:t>
        </m:r>
        <m:r>
          <m:t>s</m:t>
        </m:r>
        <m:r>
          <m:t>i</m:t>
        </m:r>
        <m:r>
          <m:t>n</m:t>
        </m:r>
        <m:r>
          <m:t>Q</m:t>
        </m:r>
        <m:r>
          <m:t>1</m:t>
        </m:r>
        <m:r>
          <m:rPr>
            <m:sty m:val="p"/>
          </m:rPr>
          <m:t>,</m:t>
        </m:r>
        <m:r>
          <m:t>a</m:t>
        </m:r>
        <m:r>
          <m:t>l</m:t>
        </m:r>
        <m:r>
          <m:t>t</m:t>
        </m:r>
        <m:r>
          <m:t>h</m:t>
        </m:r>
        <m:r>
          <m:t>o</m:t>
        </m:r>
        <m:r>
          <m:t>u</m:t>
        </m:r>
        <m:r>
          <m:t>g</m:t>
        </m:r>
        <m:r>
          <m:t>h</m:t>
        </m:r>
        <m:r>
          <m:t>t</m:t>
        </m:r>
        <m:r>
          <m:t>h</m:t>
        </m:r>
        <m:r>
          <m:t>e</m:t>
        </m:r>
        <m:r>
          <m:t>q</m:t>
        </m:r>
        <m:r>
          <m:t>u</m:t>
        </m:r>
        <m:r>
          <m:t>a</m:t>
        </m:r>
        <m:r>
          <m:t>r</m:t>
        </m:r>
        <m:r>
          <m:t>t</m:t>
        </m:r>
        <m:r>
          <m:t>e</m:t>
        </m:r>
        <m:r>
          <m:t>r</m:t>
        </m:r>
        <m:r>
          <m:t>b</m:t>
        </m:r>
        <m:r>
          <m:t>e</m:t>
        </m:r>
        <m:r>
          <m:t>n</m:t>
        </m:r>
        <m:r>
          <m:t>e</m:t>
        </m:r>
        <m:r>
          <m:t>f</m:t>
        </m:r>
        <m:r>
          <m:t>i</m:t>
        </m:r>
        <m:r>
          <m:t>t</m:t>
        </m:r>
        <m:r>
          <m:t>e</m:t>
        </m:r>
        <m:r>
          <m:t>d</m:t>
        </m:r>
        <m:r>
          <m:t>f</m:t>
        </m:r>
        <m:r>
          <m:t>r</m:t>
        </m:r>
        <m:r>
          <m:t>o</m:t>
        </m:r>
        <m:r>
          <m:t>m</m:t>
        </m:r>
        <m:r>
          <m:t>s</m:t>
        </m:r>
        <m:r>
          <m:t>t</m:t>
        </m:r>
        <m:r>
          <m:t>r</m:t>
        </m:r>
        <m:r>
          <m:t>o</m:t>
        </m:r>
        <m:r>
          <m:t>n</m:t>
        </m:r>
        <m:r>
          <m:t>g</m:t>
        </m:r>
        <m:r>
          <m:t>V</m:t>
        </m:r>
        <m:r>
          <m:t>I</m:t>
        </m:r>
        <m:r>
          <m:t>I</m:t>
        </m:r>
        <m:r>
          <m:t>a</m:t>
        </m:r>
        <m:r>
          <m:t>n</m:t>
        </m:r>
        <m:r>
          <m:t>d</m:t>
        </m:r>
        <m:r>
          <m:t>a</m:t>
        </m:r>
        <m:r>
          <m:t>l</m:t>
        </m:r>
        <m:r>
          <m:t>a</m:t>
        </m:r>
        <m:r>
          <m:t>r</m:t>
        </m:r>
        <m:r>
          <m:t>g</m:t>
        </m:r>
        <m:r>
          <m:t>e</m:t>
        </m:r>
        <m:r>
          <m:t>s</m:t>
        </m:r>
        <m:r>
          <m:t>t</m:t>
        </m:r>
        <m:r>
          <m:t>r</m:t>
        </m:r>
        <m:r>
          <m:t>u</m:t>
        </m:r>
        <m:r>
          <m:t>c</m:t>
        </m:r>
        <m:r>
          <m:t>t</m:t>
        </m:r>
        <m:r>
          <m:t>u</m:t>
        </m:r>
        <m:r>
          <m:t>r</m:t>
        </m:r>
        <m:r>
          <m:t>e</m:t>
        </m:r>
        <m:r>
          <m:t>d</m:t>
        </m:r>
        <m:r>
          <m:rPr>
            <m:sty m:val="p"/>
          </m:rPr>
          <m:t>−</m:t>
        </m:r>
        <m:r>
          <m:t>s</m:t>
        </m:r>
        <m:r>
          <m:t>e</m:t>
        </m:r>
        <m:r>
          <m:t>t</m:t>
        </m:r>
        <m:r>
          <m:t>t</m:t>
        </m:r>
        <m:r>
          <m:t>l</m:t>
        </m:r>
        <m:r>
          <m:t>e</m:t>
        </m:r>
        <m:r>
          <m:t>m</m:t>
        </m:r>
        <m:r>
          <m:t>e</m:t>
        </m:r>
        <m:r>
          <m:t>n</m:t>
        </m:r>
        <m:r>
          <m:t>t</m:t>
        </m:r>
        <m:r>
          <m:t>r</m:t>
        </m:r>
        <m:r>
          <m:t>e</m:t>
        </m:r>
        <m:r>
          <m:t>s</m:t>
        </m:r>
        <m:r>
          <m:t>e</m:t>
        </m:r>
        <m:r>
          <m:t>r</m:t>
        </m:r>
        <m:r>
          <m:t>v</m:t>
        </m:r>
        <m:r>
          <m:t>e</m:t>
        </m:r>
        <m:r>
          <m:t>r</m:t>
        </m:r>
        <m:r>
          <m:t>e</m:t>
        </m:r>
        <m:r>
          <m:t>l</m:t>
        </m:r>
        <m:r>
          <m:t>e</m:t>
        </m:r>
        <m:r>
          <m:t>a</m:t>
        </m:r>
        <m:r>
          <m:t>s</m:t>
        </m:r>
        <m:r>
          <m:t>e</m:t>
        </m:r>
        <m:r>
          <m:rPr>
            <m:sty m:val="p"/>
          </m:rPr>
          <m:t>.</m:t>
        </m:r>
        <m:r>
          <m:t>M</m:t>
        </m:r>
        <m:r>
          <m:t>a</m:t>
        </m:r>
        <m:r>
          <m:t>n</m:t>
        </m:r>
        <m:r>
          <m:t>a</m:t>
        </m:r>
        <m:r>
          <m:t>g</m:t>
        </m:r>
        <m:r>
          <m:t>e</m:t>
        </m:r>
        <m:r>
          <m:t>m</m:t>
        </m:r>
        <m:r>
          <m:t>e</m:t>
        </m:r>
        <m:r>
          <m:t>n</m:t>
        </m:r>
        <m:r>
          <m:t>t</m:t>
        </m:r>
        <m:r>
          <m:t>m</m:t>
        </m:r>
        <m:r>
          <m:t>a</m:t>
        </m:r>
        <m:r>
          <m:t>i</m:t>
        </m:r>
        <m:r>
          <m:t>n</m:t>
        </m:r>
        <m:r>
          <m:t>t</m:t>
        </m:r>
        <m:r>
          <m:t>a</m:t>
        </m:r>
        <m:r>
          <m:t>i</m:t>
        </m:r>
        <m:r>
          <m:t>n</m:t>
        </m:r>
        <m:r>
          <m:t>e</m:t>
        </m:r>
        <m:r>
          <m:t>d</m:t>
        </m:r>
        <m:r>
          <m:t>i</m:t>
        </m:r>
        <m:r>
          <m:t>t</m:t>
        </m:r>
        <m:r>
          <m:t>s</m:t>
        </m:r>
        <m:r>
          <m:rPr>
            <m:sty m:val="p"/>
          </m:rPr>
          <m:t>*</m:t>
        </m:r>
        <m:r>
          <m:rPr>
            <m:sty m:val="p"/>
          </m:rPr>
          <m:t>*</m:t>
        </m:r>
      </m:oMath>
      <w:r>
        <w:rPr>
          <w:b/>
          <w:bCs/>
        </w:rPr>
        <w:t xml:space="preserve">1.6 billion–$1.8 billion full-year adjusted-earnings outlook</w:t>
      </w:r>
      <w:r>
        <w:t xml:space="preserve"> </w:t>
      </w:r>
      <w:r>
        <w:t xml:space="preserve">for the segment.</w:t>
      </w:r>
    </w:p>
    <w:p>
      <w:pPr>
        <w:pStyle w:val="BodyText"/>
      </w:pPr>
      <w:r>
        <w:t xml:space="preserve">Core investment spread excluding VII was</w:t>
      </w:r>
      <w:r>
        <w:t xml:space="preserve"> </w:t>
      </w:r>
      <w:r>
        <w:rPr>
          <w:b/>
          <w:bCs/>
        </w:rPr>
        <w:t xml:space="preserve">95 basis points</w:t>
      </w:r>
      <w:r>
        <w:t xml:space="preserve"> </w:t>
      </w:r>
      <w:r>
        <w:t xml:space="preserve">in Q1. Management subsequently said it expected spreads to remain near that level—perhaps moving by only one or two basis points—until the yield curve steepens.</w:t>
      </w:r>
    </w:p>
    <w:p>
      <w:pPr>
        <w:pStyle w:val="BodyText"/>
      </w:pPr>
      <w:r>
        <w:t xml:space="preserve">Investors should focus on:</w:t>
      </w:r>
    </w:p>
    <w:p>
      <w:pPr>
        <w:pStyle w:val="Compact"/>
        <w:numPr>
          <w:ilvl w:val="0"/>
          <w:numId w:val="1007"/>
        </w:numPr>
      </w:pPr>
      <w:r>
        <w:t xml:space="preserve">Core spread relative to approximately 95 basis points;</w:t>
      </w:r>
    </w:p>
    <w:p>
      <w:pPr>
        <w:pStyle w:val="Compact"/>
        <w:numPr>
          <w:ilvl w:val="0"/>
          <w:numId w:val="1007"/>
        </w:numPr>
      </w:pPr>
      <w:r>
        <w:t xml:space="preserve">The pace of asset rotation following substantial late-2025 pension-risk-transfer inflows;</w:t>
      </w:r>
    </w:p>
    <w:p>
      <w:pPr>
        <w:pStyle w:val="Compact"/>
        <w:numPr>
          <w:ilvl w:val="0"/>
          <w:numId w:val="1007"/>
        </w:numPr>
      </w:pPr>
      <w:r>
        <w:t xml:space="preserve">Pension-risk-transfer and longevity-reinsurance volumes;</w:t>
      </w:r>
    </w:p>
    <w:p>
      <w:pPr>
        <w:pStyle w:val="Compact"/>
        <w:numPr>
          <w:ilvl w:val="0"/>
          <w:numId w:val="1007"/>
        </w:numPr>
      </w:pPr>
      <w:r>
        <w:t xml:space="preserve">Growth in newer businesses such as U.K. funded reinsurance and retail-annuity reinsurance;</w:t>
      </w:r>
    </w:p>
    <w:p>
      <w:pPr>
        <w:pStyle w:val="Compact"/>
        <w:numPr>
          <w:ilvl w:val="0"/>
          <w:numId w:val="1007"/>
        </w:numPr>
      </w:pPr>
      <w:r>
        <w:t xml:space="preserve">Whether underwriting remains favorable without another reserve release.</w:t>
      </w:r>
    </w:p>
    <w:p>
      <w:pPr>
        <w:pStyle w:val="FirstParagraph"/>
      </w:pPr>
      <w:r>
        <w:t xml:space="preserve">Q1 revenue excluding pension-risk transfers rose 58%, illustrating strong underlying activity, but RIS earnings are unlikely to repeat Q1’s combination of VII and reserve benefits.</w:t>
      </w:r>
    </w:p>
    <w:bookmarkEnd w:id="17"/>
    <w:bookmarkStart w:id="20" w:name="X2457e4cea2611463b2c52f6035e7c79319612e1"/>
    <w:p>
      <w:pPr>
        <w:pStyle w:val="Heading2"/>
      </w:pPr>
      <w:r>
        <w:t xml:space="preserve">4. International growth should remain an important offset</w:t>
      </w:r>
    </w:p>
    <w:bookmarkStart w:id="18" w:name="asia"/>
    <w:p>
      <w:pPr>
        <w:pStyle w:val="Heading3"/>
      </w:pPr>
      <w:r>
        <w:t xml:space="preserve">Asia</w:t>
      </w:r>
    </w:p>
    <w:p>
      <w:pPr>
        <w:pStyle w:val="FirstParagraph"/>
      </w:pPr>
      <w:r>
        <w:t xml:space="preserve">Asia delivered</w:t>
      </w:r>
      <w:r>
        <w:t xml:space="preserve"> </w:t>
      </w:r>
      <w:r>
        <w:rPr>
          <w:b/>
          <w:bCs/>
        </w:rPr>
        <w:t xml:space="preserve">$487 million</w:t>
      </w:r>
      <w:r>
        <w:t xml:space="preserve"> </w:t>
      </w:r>
      <w:r>
        <w:t xml:space="preserve">of adjusted earnings in Q1, up 31%, with constant-currency sales up 22%. Japan sales rose 26%, while Korea rose 44%.</w:t>
      </w:r>
    </w:p>
    <w:p>
      <w:pPr>
        <w:pStyle w:val="BodyText"/>
      </w:pPr>
      <w:r>
        <w:t xml:space="preserve">Management warned that year-over-year growth would moderate because comparisons become more difficult, but it remained constructive on product demand and distribution. Watch:</w:t>
      </w:r>
    </w:p>
    <w:p>
      <w:pPr>
        <w:pStyle w:val="Compact"/>
        <w:numPr>
          <w:ilvl w:val="0"/>
          <w:numId w:val="1008"/>
        </w:numPr>
      </w:pPr>
      <w:r>
        <w:t xml:space="preserve">Japan’s mix between yen and U.S.-dollar products;</w:t>
      </w:r>
    </w:p>
    <w:p>
      <w:pPr>
        <w:pStyle w:val="Compact"/>
        <w:numPr>
          <w:ilvl w:val="0"/>
          <w:numId w:val="1008"/>
        </w:numPr>
      </w:pPr>
      <w:r>
        <w:t xml:space="preserve">Accident-and-health sales following a strong product launch;</w:t>
      </w:r>
    </w:p>
    <w:p>
      <w:pPr>
        <w:pStyle w:val="Compact"/>
        <w:numPr>
          <w:ilvl w:val="0"/>
          <w:numId w:val="1008"/>
        </w:numPr>
      </w:pPr>
      <w:r>
        <w:t xml:space="preserve">Korean sales momentum;</w:t>
      </w:r>
    </w:p>
    <w:p>
      <w:pPr>
        <w:pStyle w:val="Compact"/>
        <w:numPr>
          <w:ilvl w:val="0"/>
          <w:numId w:val="1008"/>
        </w:numPr>
      </w:pPr>
      <w:r>
        <w:t xml:space="preserve">Currency effects; and</w:t>
      </w:r>
    </w:p>
    <w:p>
      <w:pPr>
        <w:pStyle w:val="Compact"/>
        <w:numPr>
          <w:ilvl w:val="0"/>
          <w:numId w:val="1008"/>
        </w:numPr>
      </w:pPr>
      <w:r>
        <w:t xml:space="preserve">Any update on the Japanese regulatory review involving seconded insurance-company employees.</w:t>
      </w:r>
    </w:p>
    <w:p>
      <w:pPr>
        <w:pStyle w:val="FirstParagraph"/>
      </w:pPr>
      <w:r>
        <w:t xml:space="preserve">Management said in Q1 that the Japanese industry matter had not affected MetLife’s sales or financial results.</w:t>
      </w:r>
    </w:p>
    <w:bookmarkEnd w:id="18"/>
    <w:bookmarkStart w:id="19" w:name="latin-america-and-emea"/>
    <w:p>
      <w:pPr>
        <w:pStyle w:val="Heading3"/>
      </w:pPr>
      <w:r>
        <w:t xml:space="preserve">Latin America and EMEA</w:t>
      </w:r>
    </w:p>
    <w:p>
      <w:pPr>
        <w:pStyle w:val="FirstParagraph"/>
      </w:pPr>
      <w:r>
        <w:t xml:space="preserve">Latin America’s underlying growth was stronger than its reported Q1 earnings suggested, as Mexico’s VAT change and other tax items reduced constant-currency earnings. The CFO said in June that the company’s path toward approximately</w:t>
      </w:r>
      <w:r>
        <w:t xml:space="preserve"> </w:t>
      </w:r>
      <w:r>
        <w:rPr>
          <w:b/>
          <w:bCs/>
        </w:rPr>
        <w:t xml:space="preserve">$1 billion of annual Latin American earnings</w:t>
      </w:r>
      <w:r>
        <w:t xml:space="preserve"> </w:t>
      </w:r>
      <w:r>
        <w:t xml:space="preserve">was realistic for 2026.</w:t>
      </w:r>
    </w:p>
    <w:p>
      <w:pPr>
        <w:pStyle w:val="BodyText"/>
      </w:pPr>
      <w:r>
        <w:t xml:space="preserve">EMEA should remain a smaller but dependable contributor. Management has described its recent growth as durable, although Q1’s $110 million result was above the normal quarterly earnings range it previously discussed.</w:t>
      </w:r>
    </w:p>
    <w:bookmarkEnd w:id="19"/>
    <w:bookmarkEnd w:id="20"/>
    <w:bookmarkStart w:id="21" w:name="Xf0a3f7663ebffd191bccfb59e1f7569609c9a22"/>
    <w:p>
      <w:pPr>
        <w:pStyle w:val="Heading2"/>
      </w:pPr>
      <w:r>
        <w:t xml:space="preserve">5. PineBridge and MetLife Investment Management need to show progress</w:t>
      </w:r>
    </w:p>
    <w:p>
      <w:pPr>
        <w:pStyle w:val="FirstParagraph"/>
      </w:pPr>
      <w:r>
        <w:t xml:space="preserve">The first fully integrated quarter following the PineBridge acquisition produced:</w:t>
      </w:r>
    </w:p>
    <w:p>
      <w:pPr>
        <w:pStyle w:val="Compact"/>
        <w:numPr>
          <w:ilvl w:val="0"/>
          <w:numId w:val="1009"/>
        </w:numPr>
      </w:pPr>
      <w:r>
        <w:rPr>
          <w:b/>
          <w:bCs/>
        </w:rPr>
        <w:t xml:space="preserve">$47 million</w:t>
      </w:r>
      <w:r>
        <w:t xml:space="preserve"> </w:t>
      </w:r>
      <w:r>
        <w:t xml:space="preserve">of MIM adjusted earnings;</w:t>
      </w:r>
    </w:p>
    <w:p>
      <w:pPr>
        <w:pStyle w:val="Compact"/>
        <w:numPr>
          <w:ilvl w:val="0"/>
          <w:numId w:val="1009"/>
        </w:numPr>
      </w:pPr>
      <w:r>
        <w:rPr>
          <w:b/>
          <w:bCs/>
        </w:rPr>
        <w:t xml:space="preserve">$736 billion</w:t>
      </w:r>
      <w:r>
        <w:t xml:space="preserve"> </w:t>
      </w:r>
      <w:r>
        <w:t xml:space="preserve">of total AUM; and</w:t>
      </w:r>
    </w:p>
    <w:p>
      <w:pPr>
        <w:pStyle w:val="Compact"/>
        <w:numPr>
          <w:ilvl w:val="0"/>
          <w:numId w:val="1009"/>
        </w:numPr>
      </w:pPr>
      <w:r>
        <w:t xml:space="preserve">Approximately</w:t>
      </w:r>
      <w:r>
        <w:t xml:space="preserve"> </w:t>
      </w:r>
      <w:r>
        <w:rPr>
          <w:b/>
          <w:bCs/>
        </w:rPr>
        <w:t xml:space="preserve">$2 billion of institutional-client outflows</w:t>
      </w:r>
      <w:r>
        <w:t xml:space="preserve">.</w:t>
      </w:r>
    </w:p>
    <w:p>
      <w:pPr>
        <w:pStyle w:val="FirstParagraph"/>
      </w:pPr>
      <w:r>
        <w:t xml:space="preserve">Management described the outflows as a combination of expected post-closing activity, market depreciation and normal client-allocation changes. It also said flows stabilized late in Q1 and that the pipeline was constructive.</w:t>
      </w:r>
    </w:p>
    <w:p>
      <w:pPr>
        <w:pStyle w:val="BodyText"/>
      </w:pPr>
      <w:r>
        <w:t xml:space="preserve">For Q2, investors should look for:</w:t>
      </w:r>
    </w:p>
    <w:p>
      <w:pPr>
        <w:pStyle w:val="Compact"/>
        <w:numPr>
          <w:ilvl w:val="0"/>
          <w:numId w:val="1010"/>
        </w:numPr>
      </w:pPr>
      <w:r>
        <w:t xml:space="preserve">Stabilization or improvement in institutional net flows;</w:t>
      </w:r>
    </w:p>
    <w:p>
      <w:pPr>
        <w:pStyle w:val="Compact"/>
        <w:numPr>
          <w:ilvl w:val="0"/>
          <w:numId w:val="1010"/>
        </w:numPr>
      </w:pPr>
      <w:r>
        <w:t xml:space="preserve">Evidence of cross-selling between legacy MIM and PineBridge;</w:t>
      </w:r>
    </w:p>
    <w:p>
      <w:pPr>
        <w:pStyle w:val="Compact"/>
        <w:numPr>
          <w:ilvl w:val="0"/>
          <w:numId w:val="1010"/>
        </w:numPr>
      </w:pPr>
      <w:r>
        <w:t xml:space="preserve">Growth in private-asset commitments;</w:t>
      </w:r>
    </w:p>
    <w:p>
      <w:pPr>
        <w:pStyle w:val="Compact"/>
        <w:numPr>
          <w:ilvl w:val="0"/>
          <w:numId w:val="1010"/>
        </w:numPr>
      </w:pPr>
      <w:r>
        <w:t xml:space="preserve">Expense synergies and a sequential earnings increase; and</w:t>
      </w:r>
    </w:p>
    <w:p>
      <w:pPr>
        <w:pStyle w:val="Compact"/>
        <w:numPr>
          <w:ilvl w:val="0"/>
          <w:numId w:val="1010"/>
        </w:numPr>
      </w:pPr>
      <w:r>
        <w:t xml:space="preserve">Retention of international PineBridge clients.</w:t>
      </w:r>
    </w:p>
    <w:p>
      <w:pPr>
        <w:pStyle w:val="FirstParagraph"/>
      </w:pPr>
      <w:r>
        <w:t xml:space="preserve">MIM is currently a modest earnings contributor, but it is supposed to become MetLife’s fastest-growing segment. Continued outflows would weaken that strategic narrative even if consolidated EPS beats.</w:t>
      </w:r>
    </w:p>
    <w:bookmarkEnd w:id="21"/>
    <w:bookmarkStart w:id="23" w:name="X7dde78503ca969ab8cbbd25fd60d642ef212507"/>
    <w:p>
      <w:pPr>
        <w:pStyle w:val="Heading2"/>
      </w:pPr>
      <w:r>
        <w:t xml:space="preserve">6. Expenses and capital returns remain central to the thesis</w:t>
      </w:r>
    </w:p>
    <w:p>
      <w:pPr>
        <w:pStyle w:val="FirstParagraph"/>
      </w:pPr>
      <w:r>
        <w:t xml:space="preserve">MetLife’s Q1 direct expense ratio of</w:t>
      </w:r>
      <w:r>
        <w:t xml:space="preserve"> </w:t>
      </w:r>
      <w:r>
        <w:rPr>
          <w:b/>
          <w:bCs/>
        </w:rPr>
        <w:t xml:space="preserve">11.9%</w:t>
      </w:r>
      <w:r>
        <w:t xml:space="preserve"> </w:t>
      </w:r>
      <w:r>
        <w:t xml:space="preserve">was better than its 12.1% full-year target despite absorbing PineBridge’s structurally higher expense base. Continued performance near or below 12.1% would reinforce the argument that technology investments and revenue growth are producing operating leverage.</w:t>
      </w:r>
    </w:p>
    <w:p>
      <w:pPr>
        <w:pStyle w:val="BodyText"/>
      </w:pPr>
      <w:r>
        <w:t xml:space="preserve">Capital was also strong entering Q2:</w:t>
      </w:r>
    </w:p>
    <w:p>
      <w:pPr>
        <w:pStyle w:val="Compact"/>
        <w:numPr>
          <w:ilvl w:val="0"/>
          <w:numId w:val="1011"/>
        </w:numPr>
      </w:pPr>
      <w:r>
        <w:t xml:space="preserve">Holding-company cash was</w:t>
      </w:r>
      <w:r>
        <w:t xml:space="preserve"> </w:t>
      </w:r>
      <w:r>
        <w:rPr>
          <w:b/>
          <w:bCs/>
        </w:rPr>
        <w:t xml:space="preserve">$3.9 billion</w:t>
      </w:r>
      <w:r>
        <w:t xml:space="preserve">, at the high end of the</w:t>
      </w:r>
      <w:r>
        <w:t xml:space="preserve"> </w:t>
      </w:r>
      <m:oMath>
        <m:r>
          <m:t>3</m:t>
        </m:r>
        <m:r>
          <m:t>b</m:t>
        </m:r>
        <m:r>
          <m:t>i</m:t>
        </m:r>
        <m:r>
          <m:t>l</m:t>
        </m:r>
        <m:r>
          <m:t>l</m:t>
        </m:r>
        <m:r>
          <m:t>i</m:t>
        </m:r>
        <m:r>
          <m:t>o</m:t>
        </m:r>
        <m:r>
          <m:t>n</m:t>
        </m:r>
        <m:r>
          <m:rPr>
            <m:sty m:val="p"/>
          </m:rPr>
          <m:t>–</m:t>
        </m:r>
      </m:oMath>
      <w:r>
        <w:t xml:space="preserve">4 billion target.</w:t>
      </w:r>
    </w:p>
    <w:p>
      <w:pPr>
        <w:pStyle w:val="Compact"/>
        <w:numPr>
          <w:ilvl w:val="0"/>
          <w:numId w:val="1011"/>
        </w:numPr>
      </w:pPr>
      <w:r>
        <w:t xml:space="preserve">MetLife repurchased approximately</w:t>
      </w:r>
      <w:r>
        <w:t xml:space="preserve"> </w:t>
      </w:r>
      <m:oMath>
        <m:r>
          <m:t>750</m:t>
        </m:r>
        <m:r>
          <m:t>m</m:t>
        </m:r>
        <m:r>
          <m:t>i</m:t>
        </m:r>
        <m:r>
          <m:t>l</m:t>
        </m:r>
        <m:r>
          <m:t>l</m:t>
        </m:r>
        <m:r>
          <m:t>i</m:t>
        </m:r>
        <m:r>
          <m:t>o</m:t>
        </m:r>
        <m:r>
          <m:t>n</m:t>
        </m:r>
        <m:r>
          <m:rPr>
            <m:sty m:val="p"/>
          </m:rPr>
          <m:t>*</m:t>
        </m:r>
        <m:r>
          <m:rPr>
            <m:sty m:val="p"/>
          </m:rPr>
          <m:t>*</m:t>
        </m:r>
        <m:r>
          <m:t>o</m:t>
        </m:r>
        <m:r>
          <m:t>f</m:t>
        </m:r>
        <m:r>
          <m:t>s</m:t>
        </m:r>
        <m:r>
          <m:t>h</m:t>
        </m:r>
        <m:r>
          <m:t>a</m:t>
        </m:r>
        <m:r>
          <m:t>r</m:t>
        </m:r>
        <m:r>
          <m:t>e</m:t>
        </m:r>
        <m:r>
          <m:t>s</m:t>
        </m:r>
        <m:r>
          <m:t>i</m:t>
        </m:r>
        <m:r>
          <m:t>n</m:t>
        </m:r>
        <m:r>
          <m:t>Q</m:t>
        </m:r>
        <m:r>
          <m:t>1</m:t>
        </m:r>
        <m:r>
          <m:t>a</m:t>
        </m:r>
        <m:r>
          <m:t>n</m:t>
        </m:r>
        <m:r>
          <m:t>d</m:t>
        </m:r>
        <m:r>
          <m:t>a</m:t>
        </m:r>
        <m:r>
          <m:t>n</m:t>
        </m:r>
        <m:r>
          <m:t>o</m:t>
        </m:r>
        <m:r>
          <m:t>t</m:t>
        </m:r>
        <m:r>
          <m:t>h</m:t>
        </m:r>
        <m:r>
          <m:t>e</m:t>
        </m:r>
        <m:r>
          <m:t>r</m:t>
        </m:r>
        <m:r>
          <m:rPr>
            <m:sty m:val="p"/>
          </m:rPr>
          <m:t>*</m:t>
        </m:r>
        <m:r>
          <m:rPr>
            <m:sty m:val="p"/>
          </m:rPr>
          <m:t>*</m:t>
        </m:r>
      </m:oMath>
      <w:r>
        <w:rPr>
          <w:b/>
          <w:bCs/>
        </w:rPr>
        <w:t xml:space="preserve">200 million</w:t>
      </w:r>
      <w:r>
        <w:t xml:space="preserve"> </w:t>
      </w:r>
      <w:r>
        <w:t xml:space="preserve">in April.</w:t>
      </w:r>
    </w:p>
    <w:p>
      <w:pPr>
        <w:pStyle w:val="Compact"/>
        <w:numPr>
          <w:ilvl w:val="0"/>
          <w:numId w:val="1011"/>
        </w:numPr>
      </w:pPr>
      <w:r>
        <w:t xml:space="preserve">It had approximately</w:t>
      </w:r>
      <w:r>
        <w:t xml:space="preserve"> </w:t>
      </w:r>
      <w:r>
        <w:rPr>
          <w:b/>
          <w:bCs/>
        </w:rPr>
        <w:t xml:space="preserve">$1.1 billion</w:t>
      </w:r>
      <w:r>
        <w:t xml:space="preserve"> </w:t>
      </w:r>
      <w:r>
        <w:t xml:space="preserve">left on its existing repurchase authorization after Q1.</w:t>
      </w:r>
    </w:p>
    <w:p>
      <w:pPr>
        <w:pStyle w:val="Compact"/>
        <w:numPr>
          <w:ilvl w:val="0"/>
          <w:numId w:val="1011"/>
        </w:numPr>
      </w:pPr>
      <w:r>
        <w:t xml:space="preserve">The 2025 U.S. risk-based capital ratio was</w:t>
      </w:r>
      <w:r>
        <w:t xml:space="preserve"> </w:t>
      </w:r>
      <w:r>
        <w:rPr>
          <w:b/>
          <w:bCs/>
        </w:rPr>
        <w:t xml:space="preserve">379%</w:t>
      </w:r>
      <w:r>
        <w:t xml:space="preserve">, above the 360% target.</w:t>
      </w:r>
    </w:p>
    <w:p>
      <w:pPr>
        <w:pStyle w:val="FirstParagraph"/>
      </w:pPr>
      <w:r>
        <w:t xml:space="preserve">The share count remains a meaningful EPS tailwind. Q1 diluted shares fell about 5% year over year, allowing EPS to grow faster than aggregate earnings.</w:t>
      </w:r>
    </w:p>
    <w:p>
      <w:pPr>
        <w:pStyle w:val="BodyText"/>
      </w:pPr>
      <w:r>
        <w:t xml:space="preserve">However, MET closed at approximately</w:t>
      </w:r>
      <w:r>
        <w:t xml:space="preserve"> </w:t>
      </w:r>
      <w:r>
        <w:rPr>
          <w:b/>
          <w:bCs/>
        </w:rPr>
        <w:t xml:space="preserve">$96.15 on August 4</w:t>
      </w:r>
      <w:r>
        <w:t xml:space="preserve">, up around 22% from year-end and nearly 20% since the Q1 release. The stock now trades near</w:t>
      </w:r>
      <w:r>
        <w:t xml:space="preserve"> </w:t>
      </w:r>
      <w:r>
        <w:rPr>
          <w:b/>
          <w:bCs/>
        </w:rPr>
        <w:t xml:space="preserve">9.7 times</w:t>
      </w:r>
      <w:r>
        <w:t xml:space="preserve"> </w:t>
      </w:r>
      <w:r>
        <w:t xml:space="preserve">a third-party 2026 adjusted-EPS consensus of $9.91 and about</w:t>
      </w:r>
      <w:r>
        <w:t xml:space="preserve"> </w:t>
      </w:r>
      <w:r>
        <w:rPr>
          <w:b/>
          <w:bCs/>
        </w:rPr>
        <w:t xml:space="preserve">1.67 times Q1 adjusted book value</w:t>
      </w:r>
      <w:r>
        <w:t xml:space="preserve">. The valuation is not demanding in absolute terms, but the stock is no longer entering earnings from a depressed level. (</w:t>
      </w:r>
      <w:hyperlink r:id="rId22">
        <w:r>
          <w:rPr>
            <w:rStyle w:val="Hyperlink"/>
          </w:rPr>
          <w:t xml:space="preserve">stockanalysis.com</w:t>
        </w:r>
      </w:hyperlink>
      <w:r>
        <w:t xml:space="preserve">)</w:t>
      </w:r>
    </w:p>
    <w:bookmarkEnd w:id="23"/>
    <w:bookmarkStart w:id="27" w:name="scenario-framework"/>
    <w:p>
      <w:pPr>
        <w:pStyle w:val="Heading2"/>
      </w:pPr>
      <w:r>
        <w:t xml:space="preserve">Scenario framework</w:t>
      </w:r>
    </w:p>
    <w:bookmarkStart w:id="24" w:name="bull-case"/>
    <w:p>
      <w:pPr>
        <w:pStyle w:val="Heading3"/>
      </w:pPr>
      <w:r>
        <w:t xml:space="preserve">Bull case</w:t>
      </w:r>
    </w:p>
    <w:p>
      <w:pPr>
        <w:pStyle w:val="Compact"/>
        <w:numPr>
          <w:ilvl w:val="0"/>
          <w:numId w:val="1012"/>
        </w:numPr>
      </w:pPr>
      <w:r>
        <w:t xml:space="preserve">Adjusted EPS of</w:t>
      </w:r>
      <w:r>
        <w:t xml:space="preserve"> </w:t>
      </w:r>
      <w:r>
        <w:rPr>
          <w:b/>
          <w:bCs/>
        </w:rPr>
        <w:t xml:space="preserve">$2.40 or better</w:t>
      </w:r>
      <w:r>
        <w:t xml:space="preserve">.</w:t>
      </w:r>
    </w:p>
    <w:p>
      <w:pPr>
        <w:pStyle w:val="Compact"/>
        <w:numPr>
          <w:ilvl w:val="0"/>
          <w:numId w:val="1012"/>
        </w:numPr>
      </w:pPr>
      <w:r>
        <w:t xml:space="preserve">VII near the high end of the preannounced range.</w:t>
      </w:r>
    </w:p>
    <w:p>
      <w:pPr>
        <w:pStyle w:val="Compact"/>
        <w:numPr>
          <w:ilvl w:val="0"/>
          <w:numId w:val="1012"/>
        </w:numPr>
      </w:pPr>
      <w:r>
        <w:t xml:space="preserve">Group-life mortality remains highly favorable.</w:t>
      </w:r>
    </w:p>
    <w:p>
      <w:pPr>
        <w:pStyle w:val="Compact"/>
        <w:numPr>
          <w:ilvl w:val="0"/>
          <w:numId w:val="1012"/>
        </w:numPr>
      </w:pPr>
      <w:r>
        <w:t xml:space="preserve">Non-medical health shows sequential improvement.</w:t>
      </w:r>
    </w:p>
    <w:p>
      <w:pPr>
        <w:pStyle w:val="Compact"/>
        <w:numPr>
          <w:ilvl w:val="0"/>
          <w:numId w:val="1012"/>
        </w:numPr>
      </w:pPr>
      <w:r>
        <w:t xml:space="preserve">RIS core spread is stable or slightly higher.</w:t>
      </w:r>
    </w:p>
    <w:p>
      <w:pPr>
        <w:pStyle w:val="Compact"/>
        <w:numPr>
          <w:ilvl w:val="0"/>
          <w:numId w:val="1012"/>
        </w:numPr>
      </w:pPr>
      <w:r>
        <w:t xml:space="preserve">MIM flows stabilize and earnings improve.</w:t>
      </w:r>
    </w:p>
    <w:p>
      <w:pPr>
        <w:pStyle w:val="Compact"/>
        <w:numPr>
          <w:ilvl w:val="0"/>
          <w:numId w:val="1012"/>
        </w:numPr>
      </w:pPr>
      <w:r>
        <w:t xml:space="preserve">Management confidently maintains the $1.6 billion VII assumption and broader New Frontier targets.</w:t>
      </w:r>
    </w:p>
    <w:bookmarkEnd w:id="24"/>
    <w:bookmarkStart w:id="25" w:name="base-case"/>
    <w:p>
      <w:pPr>
        <w:pStyle w:val="Heading3"/>
      </w:pPr>
      <w:r>
        <w:t xml:space="preserve">Base case</w:t>
      </w:r>
    </w:p>
    <w:p>
      <w:pPr>
        <w:pStyle w:val="Compact"/>
        <w:numPr>
          <w:ilvl w:val="0"/>
          <w:numId w:val="1013"/>
        </w:numPr>
      </w:pPr>
      <w:r>
        <w:t xml:space="preserve">Adjusted EPS of roughly</w:t>
      </w:r>
      <w:r>
        <w:t xml:space="preserve"> </w:t>
      </w:r>
      <m:oMath>
        <m:r>
          <m:t>2.25</m:t>
        </m:r>
        <m:r>
          <m:rPr>
            <m:sty m:val="p"/>
          </m:rPr>
          <m:t>–</m:t>
        </m:r>
      </m:oMath>
      <w:r>
        <w:rPr>
          <w:b/>
          <w:bCs/>
        </w:rPr>
        <w:t xml:space="preserve">2.35</w:t>
      </w:r>
      <w:r>
        <w:t xml:space="preserve">.</w:t>
      </w:r>
    </w:p>
    <w:p>
      <w:pPr>
        <w:pStyle w:val="Compact"/>
        <w:numPr>
          <w:ilvl w:val="0"/>
          <w:numId w:val="1013"/>
        </w:numPr>
      </w:pPr>
      <w:r>
        <w:t xml:space="preserve">VII near the midpoint.</w:t>
      </w:r>
    </w:p>
    <w:p>
      <w:pPr>
        <w:pStyle w:val="Compact"/>
        <w:numPr>
          <w:ilvl w:val="0"/>
          <w:numId w:val="1013"/>
        </w:numPr>
      </w:pPr>
      <w:r>
        <w:t xml:space="preserve">Strong life underwriting partially offset by continued disability, dental or paid-leave pressure.</w:t>
      </w:r>
    </w:p>
    <w:p>
      <w:pPr>
        <w:pStyle w:val="Compact"/>
        <w:numPr>
          <w:ilvl w:val="0"/>
          <w:numId w:val="1013"/>
        </w:numPr>
      </w:pPr>
      <w:r>
        <w:t xml:space="preserve">RIS core spread remains around 95 basis points.</w:t>
      </w:r>
    </w:p>
    <w:p>
      <w:pPr>
        <w:pStyle w:val="Compact"/>
        <w:numPr>
          <w:ilvl w:val="0"/>
          <w:numId w:val="1013"/>
        </w:numPr>
      </w:pPr>
      <w:r>
        <w:t xml:space="preserve">International growth moderates but remains healthy.</w:t>
      </w:r>
    </w:p>
    <w:p>
      <w:pPr>
        <w:pStyle w:val="Compact"/>
        <w:numPr>
          <w:ilvl w:val="0"/>
          <w:numId w:val="1013"/>
        </w:numPr>
      </w:pPr>
      <w:r>
        <w:t xml:space="preserve">Full-year targets are maintained, with the expected VII recovery weighted toward Q3 and Q4.</w:t>
      </w:r>
    </w:p>
    <w:bookmarkEnd w:id="25"/>
    <w:bookmarkStart w:id="26" w:name="bear-case"/>
    <w:p>
      <w:pPr>
        <w:pStyle w:val="Heading3"/>
      </w:pPr>
      <w:r>
        <w:t xml:space="preserve">Bear case</w:t>
      </w:r>
    </w:p>
    <w:p>
      <w:pPr>
        <w:pStyle w:val="Compact"/>
        <w:numPr>
          <w:ilvl w:val="0"/>
          <w:numId w:val="1014"/>
        </w:numPr>
      </w:pPr>
      <w:r>
        <w:t xml:space="preserve">Adjusted EPS below approximately</w:t>
      </w:r>
      <w:r>
        <w:t xml:space="preserve"> </w:t>
      </w:r>
      <w:r>
        <w:rPr>
          <w:b/>
          <w:bCs/>
        </w:rPr>
        <w:t xml:space="preserve">$2.20</w:t>
      </w:r>
      <w:r>
        <w:t xml:space="preserve">.</w:t>
      </w:r>
    </w:p>
    <w:p>
      <w:pPr>
        <w:pStyle w:val="Compact"/>
        <w:numPr>
          <w:ilvl w:val="0"/>
          <w:numId w:val="1014"/>
        </w:numPr>
      </w:pPr>
      <w:r>
        <w:t xml:space="preserve">VII finishes at the low end and management becomes less confident in the full-year assumption.</w:t>
      </w:r>
    </w:p>
    <w:p>
      <w:pPr>
        <w:pStyle w:val="Compact"/>
        <w:numPr>
          <w:ilvl w:val="0"/>
          <w:numId w:val="1014"/>
        </w:numPr>
      </w:pPr>
      <w:r>
        <w:t xml:space="preserve">Group Benefits experiences deterioration beyond expected seasonality.</w:t>
      </w:r>
    </w:p>
    <w:p>
      <w:pPr>
        <w:pStyle w:val="Compact"/>
        <w:numPr>
          <w:ilvl w:val="0"/>
          <w:numId w:val="1014"/>
        </w:numPr>
      </w:pPr>
      <w:r>
        <w:t xml:space="preserve">MIM reports continued material outflows.</w:t>
      </w:r>
    </w:p>
    <w:p>
      <w:pPr>
        <w:pStyle w:val="Compact"/>
        <w:numPr>
          <w:ilvl w:val="0"/>
          <w:numId w:val="1014"/>
        </w:numPr>
      </w:pPr>
      <w:r>
        <w:t xml:space="preserve">Credit losses, impairments or real-estate commentary become less benign.</w:t>
      </w:r>
    </w:p>
    <w:p>
      <w:pPr>
        <w:pStyle w:val="Compact"/>
        <w:numPr>
          <w:ilvl w:val="0"/>
          <w:numId w:val="1014"/>
        </w:numPr>
      </w:pPr>
      <w:r>
        <w:t xml:space="preserve">Capital returns slow without a clear corresponding increase in attractive organic growth.</w:t>
      </w:r>
    </w:p>
    <w:bookmarkEnd w:id="26"/>
    <w:bookmarkEnd w:id="27"/>
    <w:bookmarkStart w:id="28" w:name="bottom-line"/>
    <w:p>
      <w:pPr>
        <w:pStyle w:val="Heading2"/>
      </w:pPr>
      <w:r>
        <w:t xml:space="preserve">Bottom line</w:t>
      </w:r>
    </w:p>
    <w:p>
      <w:pPr>
        <w:pStyle w:val="FirstParagraph"/>
      </w:pPr>
      <w:r>
        <w:t xml:space="preserve">The quarter should show</w:t>
      </w:r>
      <w:r>
        <w:t xml:space="preserve"> </w:t>
      </w:r>
      <w:r>
        <w:rPr>
          <w:b/>
          <w:bCs/>
        </w:rPr>
        <w:t xml:space="preserve">solid year-over-year EPS growth but a sequential decline from an unusually strong Q1</w:t>
      </w:r>
      <w:r>
        <w:t xml:space="preserve">. Lower variable investment income is well understood; the report’s real information content will be whether MetLife’s recurring businesses can absorb that decline.</w:t>
      </w:r>
    </w:p>
    <w:p>
      <w:pPr>
        <w:pStyle w:val="BodyText"/>
      </w:pPr>
      <w:r>
        <w:t xml:space="preserve">The most important indicators are:</w:t>
      </w:r>
    </w:p>
    <w:p>
      <w:pPr>
        <w:pStyle w:val="Compact"/>
        <w:numPr>
          <w:ilvl w:val="0"/>
          <w:numId w:val="1015"/>
        </w:numPr>
      </w:pPr>
      <w:r>
        <w:rPr>
          <w:b/>
          <w:bCs/>
        </w:rPr>
        <w:t xml:space="preserve">Group Benefits underwriting</w:t>
      </w:r>
      <w:r>
        <w:t xml:space="preserve">, particularly life mortality and non-medical health;</w:t>
      </w:r>
    </w:p>
    <w:p>
      <w:pPr>
        <w:pStyle w:val="Compact"/>
        <w:numPr>
          <w:ilvl w:val="0"/>
          <w:numId w:val="1015"/>
        </w:numPr>
      </w:pPr>
      <w:r>
        <w:rPr>
          <w:b/>
          <w:bCs/>
        </w:rPr>
        <w:t xml:space="preserve">Confidence in the second-half VII recovery</w:t>
      </w:r>
      <w:r>
        <w:t xml:space="preserve">;</w:t>
      </w:r>
    </w:p>
    <w:p>
      <w:pPr>
        <w:pStyle w:val="Compact"/>
        <w:numPr>
          <w:ilvl w:val="0"/>
          <w:numId w:val="1015"/>
        </w:numPr>
      </w:pPr>
      <w:r>
        <w:rPr>
          <w:b/>
          <w:bCs/>
        </w:rPr>
        <w:t xml:space="preserve">RIS core spread and retirement-business growth</w:t>
      </w:r>
      <w:r>
        <w:t xml:space="preserve">;</w:t>
      </w:r>
    </w:p>
    <w:p>
      <w:pPr>
        <w:pStyle w:val="Compact"/>
        <w:numPr>
          <w:ilvl w:val="0"/>
          <w:numId w:val="1015"/>
        </w:numPr>
      </w:pPr>
      <w:r>
        <w:rPr>
          <w:b/>
          <w:bCs/>
        </w:rPr>
        <w:t xml:space="preserve">PineBridge flow stabilization and MIM earnings progression</w:t>
      </w:r>
      <w:r>
        <w:t xml:space="preserve">;</w:t>
      </w:r>
    </w:p>
    <w:p>
      <w:pPr>
        <w:pStyle w:val="Compact"/>
        <w:numPr>
          <w:ilvl w:val="0"/>
          <w:numId w:val="1015"/>
        </w:numPr>
      </w:pPr>
      <w:r>
        <w:rPr>
          <w:b/>
          <w:bCs/>
        </w:rPr>
        <w:t xml:space="preserve">Expense-ratio discipline and buyback capacity</w:t>
      </w:r>
      <w:r>
        <w:t xml:space="preserve">; and</w:t>
      </w:r>
    </w:p>
    <w:p>
      <w:pPr>
        <w:pStyle w:val="Compact"/>
        <w:numPr>
          <w:ilvl w:val="0"/>
          <w:numId w:val="1015"/>
        </w:numPr>
      </w:pPr>
      <w:r>
        <w:rPr>
          <w:b/>
          <w:bCs/>
        </w:rPr>
        <w:t xml:space="preserve">Whether management’s outlook supports consensus 2026 adjusted EPS near $10</w:t>
      </w:r>
      <w:r>
        <w:t xml:space="preserve">.</w:t>
      </w:r>
    </w:p>
    <w:p>
      <w:pPr>
        <w:pStyle w:val="FirstParagraph"/>
      </w:pPr>
      <w:r>
        <w:t xml:space="preserve">Given the stock’s strong run, an ordinary EPS beat may not be enough. The most constructive result would pair a beat with clean underwriting, stable MIM flows and clear evidence that the lower Q2 VII result is a timing issue rather than a reduction in MetLife’s normalized earnings power.</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metlife.com/news/news-details/2026/MetLife-to-Announce-Second-Quarter-2026-Results/default.aspx?utm_source=openai" TargetMode="External" /><Relationship Type="http://schemas.openxmlformats.org/officeDocument/2006/relationships/hyperlink" Id="rId22" Target="https://stockanalysis.com/stocks/met/forecast/?utm_source=openai" TargetMode="External" /><Relationship Type="http://schemas.openxmlformats.org/officeDocument/2006/relationships/hyperlink" Id="rId12" Target="https://www.metlife.com/about-us/newsroom/2026/may/metlife-announces-first-quarter-2026-results/?utm_source=openai" TargetMode="External" /><Relationship Type="http://schemas.openxmlformats.org/officeDocument/2006/relationships/hyperlink" Id="rId14" Target="https://www.sec.gov/Archives/edgar/data/1099219/000109921926000045/met-20260629.htm?utm_source=openai" TargetMode="External" /><Relationship Type="http://schemas.openxmlformats.org/officeDocument/2006/relationships/hyperlink" Id="rId11" Target="https://www.tipranks.com/stocks/met/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metlife.com/news/news-details/2026/MetLife-to-Announce-Second-Quarter-2026-Results/default.aspx?utm_source=openai" TargetMode="External" /><Relationship Type="http://schemas.openxmlformats.org/officeDocument/2006/relationships/hyperlink" Id="rId22" Target="https://stockanalysis.com/stocks/met/forecast/?utm_source=openai" TargetMode="External" /><Relationship Type="http://schemas.openxmlformats.org/officeDocument/2006/relationships/hyperlink" Id="rId12" Target="https://www.metlife.com/about-us/newsroom/2026/may/metlife-announces-first-quarter-2026-results/?utm_source=openai" TargetMode="External" /><Relationship Type="http://schemas.openxmlformats.org/officeDocument/2006/relationships/hyperlink" Id="rId14" Target="https://www.sec.gov/Archives/edgar/data/1099219/000109921926000045/met-20260629.htm?utm_source=openai" TargetMode="External" /><Relationship Type="http://schemas.openxmlformats.org/officeDocument/2006/relationships/hyperlink" Id="rId11" Target="https://www.tipranks.com/stocks/met/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2026-08-05T01:37:43Z</dcterms:created>
  <dcterms:modified xsi:type="dcterms:W3CDTF">2026-08-05T01:37:43Z</dcterms:modified>
</cp:coreProperties>
</file>

<file path=docProps/custom.xml><?xml version="1.0" encoding="utf-8"?>
<Properties xmlns="http://schemas.openxmlformats.org/officeDocument/2006/custom-properties" xmlns:vt="http://schemas.openxmlformats.org/officeDocument/2006/docPropsVTypes"/>
</file>