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-earnings-predictions--2026-08-05"/>
    <w:p>
      <w:pPr>
        <w:pStyle w:val="Heading1"/>
      </w:pPr>
      <w:r>
        <w:t xml:space="preserve">MET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~$2.23 vs. cons $2.17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Pre-tax variable investment income (VII)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~$245M vs. cons $245M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Benefits adjusted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~$415M vs. cons $395M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pre-tax VII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~$1.60B vs. cons $1.55B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~11% vs. cons 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RIS adjusted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~$1.70B vs. cons $1.70B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MIM adjusted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~$260M vs. cons $260M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modest EPS beat of ~$2.23 versus</w:t>
            </w:r>
            <w:r>
              <w:t xml:space="preserve"> </w:t>
            </w:r>
            <m:oMath>
              <m:r>
                <m:t>2.17</m:t>
              </m:r>
              <m:r>
                <m:t>a</m:t>
              </m:r>
              <m:r>
                <m:t>n</m:t>
              </m:r>
              <m:r>
                <m:t>d</m:t>
              </m:r>
              <m:r>
                <m:t>V</m:t>
              </m:r>
              <m:r>
                <m:t>I</m:t>
              </m:r>
              <m:r>
                <m:t>I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245M should support an initial positive reaction, but retained FY2026 VII guidance of ~</w:t>
            </w:r>
            <m:oMath>
              <m:r>
                <m:t>1.60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1.55B consensus is a reaffirmation rather than a material raise; limited out-period estimate upside should leave the 5-day residual near +1.0% after a +1.8%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2026-08-05T01:38:18Z</dcterms:created>
  <dcterms:modified xsi:type="dcterms:W3CDTF">2026-08-05T01:38:18Z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