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-earnings-predictions--2026-08-05"/>
    <w:p>
      <w:pPr>
        <w:pStyle w:val="Heading1"/>
      </w:pPr>
      <w:r>
        <w:t xml:space="preserve">MET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Variable Investment Income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265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316M (Visible Alpha, Jul 1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~$2.30 vs. cons $2.37 (Visible Alpha, Jul 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Interest-Adj. Benefit Ratio - Group Benefits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~73.5% vs. cons 73.94% (Visible Alpha, Jul 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Variable Investment Income (pretax)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~$1.6B reaffirmed vs. cons $1.62B (Visible Alpha, Jul 1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VII qualitative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above</w:t>
            </w:r>
            <w:r>
              <w:t xml:space="preserve"> </w:t>
            </w:r>
            <m:oMath>
              <m:r>
                <m:t>400</m:t>
              </m:r>
              <m:r>
                <m:t>M</m:t>
              </m:r>
              <m:r>
                <m:t>r</m:t>
              </m:r>
              <m:r>
                <m:t>u</m:t>
              </m:r>
              <m:r>
                <m:t>n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408M (Visible Alpha, Jul 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Direct Expense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12.1% target vs. cons ~12.1%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(STABILIZE)</w:t>
            </w:r>
          </w:p>
        </w:tc>
        <w:tc>
          <w:tcPr/>
          <w:p>
            <w:pPr>
              <w:pStyle w:val="Compact"/>
            </w:pPr>
            <w:r>
              <w:t xml:space="preserve">STABILIZE - Q3 VII recovery narrative limits downside; partial recovery as sell-side trims but does not slash estimates; high pre-run prevents full reversal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2026-08-07T02:01:22Z</dcterms:created>
  <dcterms:modified xsi:type="dcterms:W3CDTF">2026-08-07T02:01:22Z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