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nst-earnings-predictions--2026-08-06"/>
    <w:p>
      <w:pPr>
        <w:pStyle w:val="Heading1"/>
      </w:pPr>
      <w:r>
        <w:t xml:space="preserve">MNST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(revenue)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2.50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0.61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~55.1% vs. cons/comp ~55.7% (Q2'25)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July current-month sales run-rate (Q3'26 read-through)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~+17-19% (FX-neutral ~+15%) vs. cons ~+14-15% (July/Q3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/ cost &amp; pricing outlook (2H'26)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~55% (modest sequential cost creep on aluminum/tariffs) vs. cons ~56%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Incremental pricing actions (US/intl)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add'l ~mid-single-digit % pricing vs. cons ~low-single-digit % assumed (2H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April tracked ~+24% into Q2, so a top-line beat plus a strong July current-month datapoint should push out-period revenue estimates higher, and the recent pullback from the ~</w:t>
            </w:r>
            <m:oMath>
              <m:r>
                <m:t>100</m:t>
              </m:r>
              <m:r>
                <m:t>J</m:t>
              </m:r>
              <m:r>
                <m:t>u</m:t>
              </m:r>
              <m:r>
                <m:t>l</m:t>
              </m:r>
              <m:r>
                <m:t>y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94) de-risks the setup. Known aluminum/tariff margin creep is largely discounted, so the revenue/volume revisions dominate the out-period math and support a modest follow-through; margin pressure caps the magnitude and keeps conviction moderate.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2026-08-06T01:11:15Z</dcterms:created>
  <dcterms:modified xsi:type="dcterms:W3CDTF">2026-08-06T01:11:15Z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