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MNST before writing the preview. Let me gather recent filings, transcripts, news, and price data.Let me read the most recent Q1 2026 earnings materials and the year-ago Q2 quarter for comparison.Let me get the year-ago Q2 2025 figures and current consensus expectations.I have what I need. Here's the earnings preview.</w:t>
      </w:r>
    </w:p>
    <w:bookmarkStart w:id="20" w:name="X4137ca6dde32501ec514cf06a2ac5fcbeb6c9ad"/>
    <w:p>
      <w:pPr>
        <w:pStyle w:val="Heading1"/>
      </w:pPr>
      <w:r>
        <w:t xml:space="preserve">Monster Beverage (MNST) — Q2 2026 Earnings Preview</w:t>
      </w:r>
    </w:p>
    <w:bookmarkStart w:id="9" w:name="Xa371336920a77a94799663aaa9cd1a37d4376e6"/>
    <w:p>
      <w:pPr>
        <w:pStyle w:val="Heading3"/>
      </w:pPr>
      <w:r>
        <w:t xml:space="preserve">Reports after the close Wednesday, Aug 6, 2026 | Conference call to follow</w:t>
      </w:r>
    </w:p>
    <w:p>
      <w:r>
        <w:pict>
          <v:rect style="width:0;height:1.5pt" o:hralign="center" o:hrstd="t" o:hr="t"/>
        </w:pict>
      </w:r>
    </w:p>
    <w:bookmarkEnd w:id="9"/>
    <w:bookmarkStart w:id="10" w:name="X50b731ef025a5b6abd49df36fc6ffd39d47a5b2"/>
    <w:p>
      <w:pPr>
        <w:pStyle w:val="Heading2"/>
      </w:pPr>
      <w:r>
        <w:t xml:space="preserve">1. The Setup: High Expectations Into a High-Momentum Print</w:t>
      </w:r>
    </w:p>
    <w:p>
      <w:pPr>
        <w:pStyle w:val="FirstParagraph"/>
      </w:pPr>
      <w:r>
        <w:t xml:space="preserve">Monster comes into this report on a tear. The stock has climbed from ~</w:t>
      </w:r>
      <m:oMath>
        <m:r>
          <m:t>76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o</m:t>
        </m:r>
        <m:r>
          <m:t>f</m:t>
        </m:r>
        <m:r>
          <m:t>2026</m:t>
        </m:r>
        <m:r>
          <m:t>t</m:t>
        </m:r>
        <m:r>
          <m:t>o</m:t>
        </m:r>
        <m:r>
          <m:t> </m:t>
        </m:r>
      </m:oMath>
      <w:r>
        <w:t xml:space="preserve">94–95 as of Aug 5, up roughly 24% YTD, and touched a 52-week-high near $100 in mid-July before a modest pullback. That rally was largely ignited by a blowout Q1 (reported May 7), after which the stock jumped ~14% in a single session (from $75.97 to $86.29).</w:t>
      </w:r>
    </w:p>
    <w:p>
      <w:pPr>
        <w:pStyle w:val="BodyText"/>
      </w:pPr>
      <w:r>
        <w:t xml:space="preserve">The setup matters: after a monster Q1 and a stock near record highs, the bar is high and the risk/reward is more balanced than it was three months ago. This is a "prove the momentum is real" quarter, not a "cheap turnaround" quarter.</w:t>
      </w:r>
    </w:p>
    <w:p>
      <w:pPr>
        <w:pStyle w:val="BodyText"/>
      </w:pPr>
      <w:r>
        <w:rPr>
          <w:b/>
          <w:bCs/>
        </w:rPr>
        <w:t xml:space="preserve">Consensus expectations (Street, ~8 analysts):</w:t>
      </w:r>
      <w:r>
        <w:t xml:space="preserve"> </w:t>
      </w:r>
      <w:r>
        <w:t xml:space="preserve">| Metric | Q2 2026 Est. | Q2 2025 Actual | Implied Growth |</w:t>
      </w:r>
      <w:r>
        <w:t xml:space="preserve"> </w:t>
      </w:r>
      <w:r>
        <w:t xml:space="preserve">|---|---|---|---|</w:t>
      </w:r>
      <w:r>
        <w:t xml:space="preserve"> </w:t>
      </w:r>
      <w:r>
        <w:t xml:space="preserve">| Revenue | ~$2.42–2.43B |</w:t>
      </w:r>
      <w:r>
        <w:t xml:space="preserve"> </w:t>
      </w:r>
      <m:oMath>
        <m:r>
          <m:t>2.112</m:t>
        </m:r>
        <m:r>
          <m:t>B</m:t>
        </m:r>
        <m:r>
          <m:rPr>
            <m:sty m:val="p"/>
          </m:rPr>
          <m:t>|</m:t>
        </m:r>
        <m:r>
          <m:t> 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|</m:t>
        </m:r>
        <m:r>
          <m:t>E</m:t>
        </m:r>
        <m:r>
          <m:t>P</m:t>
        </m:r>
        <m:r>
          <m:t>S</m:t>
        </m:r>
        <m:r>
          <m:rPr>
            <m:sty m:val="p"/>
          </m:rPr>
          <m:t>|</m:t>
        </m:r>
        <m:r>
          <m:t> </m:t>
        </m:r>
      </m:oMath>
      <w:r>
        <w:t xml:space="preserve">0.58 | $0.50 GAAP / $0.52 adj. | ~+11–16% |</w:t>
      </w:r>
    </w:p>
    <w:p>
      <w:pPr>
        <w:pStyle w:val="BodyText"/>
      </w:pPr>
      <w:r>
        <w:t xml:space="preserve">MNST has a track record of beating consensus over the trailing four quarters, and sell-side commentary flags a positive earnings surprise setup going in.</w:t>
      </w:r>
    </w:p>
    <w:p>
      <w:r>
        <w:pict>
          <v:rect style="width:0;height:1.5pt" o:hralign="center" o:hrstd="t" o:hr="t"/>
        </w:pict>
      </w:r>
    </w:p>
    <w:bookmarkEnd w:id="10"/>
    <w:bookmarkStart w:id="15" w:name="X2a3428aa1f7ee9070609ce15ba8126b28948bee"/>
    <w:p>
      <w:pPr>
        <w:pStyle w:val="Heading2"/>
      </w:pPr>
      <w:r>
        <w:t xml:space="preserve">2. What Actually Matters This Quarter</w:t>
      </w:r>
    </w:p>
    <w:bookmarkStart w:id="11" w:name="a-can-the-top-line-acceleration-hold"/>
    <w:p>
      <w:pPr>
        <w:pStyle w:val="Heading3"/>
      </w:pPr>
      <w:r>
        <w:t xml:space="preserve">a) Can the top-line acceleration hold?</w:t>
      </w:r>
    </w:p>
    <w:p>
      <w:pPr>
        <w:pStyle w:val="FirstParagraph"/>
      </w:pPr>
      <w:r>
        <w:t xml:space="preserve">Q1 2026 was exceptional:</w:t>
      </w:r>
      <w:r>
        <w:t xml:space="preserve"> </w:t>
      </w:r>
      <w:r>
        <w:rPr>
          <w:b/>
          <w:bCs/>
        </w:rPr>
        <w:t xml:space="preserve">net sales +26.9% to $2.35B</w:t>
      </w:r>
      <w:r>
        <w:t xml:space="preserve"> </w:t>
      </w:r>
      <w:r>
        <w:t xml:space="preserve">(+22.1% FX-neutral), the first time Q1 sales crossed $2B. Crucially, management said</w:t>
      </w:r>
      <w:r>
        <w:t xml:space="preserve"> </w:t>
      </w:r>
      <w:r>
        <w:rPr>
          <w:b/>
          <w:bCs/>
        </w:rPr>
        <w:t xml:space="preserve">April sales were tracking ~+24.4%</w:t>
      </w:r>
      <w:r>
        <w:t xml:space="preserve"> </w:t>
      </w:r>
      <w:r>
        <w:t xml:space="preserve">(~+21.6% FX-neutral) — a strong hand-off into Q2. If Q2 comes in only around the ~+15% consensus, that would actually represent a meaningful</w:t>
      </w:r>
      <w:r>
        <w:t xml:space="preserve"> </w:t>
      </w:r>
      <w:r>
        <w:rPr>
          <w:i/>
          <w:iCs/>
        </w:rPr>
        <w:t xml:space="preserve">deceleration</w:t>
      </w:r>
      <w:r>
        <w:t xml:space="preserve"> </w:t>
      </w:r>
      <w:r>
        <w:t xml:space="preserve">from the April run-rate, which the market will scrutinize. The key debate: how much of Q1's strength was underlying demand vs. FX tailwind, pricing, and shipment timing ("out-of-orbit" production to meet demand).</w:t>
      </w:r>
    </w:p>
    <w:p>
      <w:pPr>
        <w:pStyle w:val="BodyText"/>
      </w:pPr>
      <w:r>
        <w:t xml:space="preserve">Category scanner data remains healthy across regions (last reported 13-week periods):</w:t>
      </w:r>
      <w:r>
        <w:t xml:space="preserve"> </w:t>
      </w:r>
      <w:r>
        <w:rPr>
          <w:b/>
          <w:bCs/>
        </w:rPr>
        <w:t xml:space="preserve">US +10.7%, EMEA +10.5%, APAC +16.7%, LATAM +15.6%</w:t>
      </w:r>
      <w:r>
        <w:t xml:space="preserve"> </w:t>
      </w:r>
      <w:r>
        <w:t xml:space="preserve">— and Monster has been growing faster than the category in most markets.</w:t>
      </w:r>
    </w:p>
    <w:bookmarkEnd w:id="11"/>
    <w:bookmarkStart w:id="12" w:name="Xb22343b966e89c7f16f4ed0cd5214092060bb3b"/>
    <w:p>
      <w:pPr>
        <w:pStyle w:val="Heading3"/>
      </w:pPr>
      <w:r>
        <w:t xml:space="preserve">b) International is now the growth engine — and the margin drag</w:t>
      </w:r>
    </w:p>
    <w:p>
      <w:pPr>
        <w:pStyle w:val="FirstParagraph"/>
      </w:pPr>
      <w:r>
        <w:t xml:space="preserve">International hit</w:t>
      </w:r>
      <w:r>
        <w:t xml:space="preserve"> </w:t>
      </w:r>
      <w:r>
        <w:rPr>
          <w:b/>
          <w:bCs/>
        </w:rPr>
        <w:t xml:space="preserve">~45% of sales in Q1</w:t>
      </w:r>
      <w:r>
        <w:t xml:space="preserve"> </w:t>
      </w:r>
      <w:r>
        <w:t xml:space="preserve">(a company record), with foreign sales +44.9%. Standouts: China +95%, India +94.5%, Brazil +61%, Oceania +53% (Monster is now #1 in Australia, overtaking Red Bull and V). This is the bull case's core, but it's a double-edged sword: international carries lower gross margins, so faster mix shift compresses reported margin percentages even as it grows absolute dollars. Watch the international mix trajectory again in Q2.</w:t>
      </w:r>
    </w:p>
    <w:bookmarkEnd w:id="12"/>
    <w:bookmarkStart w:id="13" w:name="c-gross-margin--the-swing-factor"/>
    <w:p>
      <w:pPr>
        <w:pStyle w:val="Heading3"/>
      </w:pPr>
      <w:r>
        <w:t xml:space="preserve">c) Gross margin — the swing factor</w:t>
      </w:r>
    </w:p>
    <w:p>
      <w:pPr>
        <w:pStyle w:val="FirstParagraph"/>
      </w:pPr>
      <w:r>
        <w:t xml:space="preserve">Q1 gross margin fell to</w:t>
      </w:r>
      <w:r>
        <w:t xml:space="preserve"> </w:t>
      </w:r>
      <w:r>
        <w:rPr>
          <w:b/>
          <w:bCs/>
        </w:rPr>
        <w:t xml:space="preserve">55.0% from 56.5%</w:t>
      </w:r>
      <w:r>
        <w:t xml:space="preserve"> </w:t>
      </w:r>
      <w:r>
        <w:t xml:space="preserve">a year ago, pressured by: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Geographic mix</w:t>
      </w:r>
      <w:r>
        <w:t xml:space="preserve"> </w:t>
      </w:r>
      <w:r>
        <w:t xml:space="preserve">(~120 bps headwind from strong EMEA growth)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Aluminum</w:t>
      </w:r>
      <w:r>
        <w:t xml:space="preserve"> </w:t>
      </w:r>
      <w:r>
        <w:t xml:space="preserve">(just under 100 bps; Midwest Premium elevated by tariffs)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Freight-in</w:t>
      </w:r>
      <w:r>
        <w:t xml:space="preserve"> </w:t>
      </w:r>
      <w:r>
        <w:t xml:space="preserve">from out-of-orbit production</w:t>
      </w:r>
    </w:p>
    <w:p>
      <w:pPr>
        <w:pStyle w:val="FirstParagraph"/>
      </w:pPr>
      <w:r>
        <w:t xml:space="preserve">For context, year-ago</w:t>
      </w:r>
      <w:r>
        <w:t xml:space="preserve"> </w:t>
      </w:r>
      <w:r>
        <w:rPr>
          <w:b/>
          <w:bCs/>
        </w:rPr>
        <w:t xml:space="preserve">Q2 2025 gross margin was 55.7%</w:t>
      </w:r>
      <w:r>
        <w:t xml:space="preserve"> </w:t>
      </w:r>
      <w:r>
        <w:t xml:space="preserve">— a tough compare. Management explicitly warned of</w:t>
      </w:r>
      <w:r>
        <w:t xml:space="preserve"> </w:t>
      </w:r>
      <w:r>
        <w:rPr>
          <w:b/>
          <w:bCs/>
        </w:rPr>
        <w:t xml:space="preserve">modest sequential cost increases through at least year-end 2026</w:t>
      </w:r>
      <w:r>
        <w:t xml:space="preserve"> </w:t>
      </w:r>
      <w:r>
        <w:t xml:space="preserve">from aluminum/tariffs. The offset is pricing: fall-2025 pricing actions are "working," and management repeatedly says it's evaluating further US and international increases. Any y/y margin contraction vs. the 55.7% comp, and the commentary on the pricing/cost balance, will drive the reaction.</w:t>
      </w:r>
    </w:p>
    <w:bookmarkEnd w:id="13"/>
    <w:bookmarkStart w:id="14" w:name="d-pricing-power--the-consumer"/>
    <w:p>
      <w:pPr>
        <w:pStyle w:val="Heading3"/>
      </w:pPr>
      <w:r>
        <w:t xml:space="preserve">d) Pricing power &amp; the consumer</w:t>
      </w:r>
    </w:p>
    <w:p>
      <w:pPr>
        <w:pStyle w:val="FirstParagraph"/>
      </w:pPr>
      <w:r>
        <w:t xml:space="preserve">Management sounds confident that "modest inflationary pricing" is holding without denting volume — a key differentiator versus a wobbly consumer backdrop. Q1 US/Canada grew +15.6% with all channels contributing. Any sign the US consumer is trading down or that pricing is finally hitting elasticity would be a red flag.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28621216accbd521d609cead6e6778ea1dc1fb9"/>
    <w:p>
      <w:pPr>
        <w:pStyle w:val="Heading2"/>
      </w:pPr>
      <w:r>
        <w:t xml:space="preserve">3. Portfolio &amp; Innovation Watch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Zero sugar leadership:</w:t>
      </w:r>
      <w:r>
        <w:t xml:space="preserve"> </w:t>
      </w:r>
      <w:r>
        <w:t xml:space="preserve">The Ultra family grew ~20% in Q1 (Ultra White +34% in US, +50%+ in EMEA) — the single most important growth vector.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New brand launches:</w:t>
      </w:r>
      <w:r>
        <w:t xml:space="preserve"> </w:t>
      </w:r>
      <w:r>
        <w:rPr>
          <w:b/>
          <w:bCs/>
        </w:rPr>
        <w:t xml:space="preserve">FLRT</w:t>
      </w:r>
      <w:r>
        <w:t xml:space="preserve"> </w:t>
      </w:r>
      <w:r>
        <w:t xml:space="preserve">(female-targeted wellness, launched March/April) and</w:t>
      </w:r>
      <w:r>
        <w:t xml:space="preserve"> </w:t>
      </w:r>
      <w:r>
        <w:rPr>
          <w:b/>
          <w:bCs/>
        </w:rPr>
        <w:t xml:space="preserve">Storm</w:t>
      </w:r>
      <w:r>
        <w:t xml:space="preserve"> </w:t>
      </w:r>
      <w:r>
        <w:t xml:space="preserve">(repositioned wellness brand, decoupled from the underperforming Reign Storm). Early read on these expands MNST's addressable occasions; expect an update.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Affordable brands:</w:t>
      </w:r>
      <w:r>
        <w:t xml:space="preserve"> </w:t>
      </w:r>
      <w:r>
        <w:t xml:space="preserve">Predator &amp; Fury (#1 combined in measured African markets) drive emerging-market penetration (India, China, Egypt, Nigeria).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Laggards to fix:</w:t>
      </w:r>
      <w:r>
        <w:t xml:space="preserve"> </w:t>
      </w:r>
      <w:r>
        <w:t xml:space="preserve">Bang (being relaunched), NOS, Full Throttle, and the coffee/Java category (soft). The Alcohol Brands segment continues to shrink (-5.9% in Q1) and remains a small drag.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America 250</w:t>
      </w:r>
      <w:r>
        <w:t xml:space="preserve"> </w:t>
      </w:r>
      <w:r>
        <w:t xml:space="preserve">patriotic packaging and summer multipack/club-channel push (12-packs, 24-packs) are seasonal tailwinds for the peak-selling Q2/summer period.</w:t>
      </w:r>
    </w:p>
    <w:p>
      <w:r>
        <w:pict>
          <v:rect style="width:0;height:1.5pt" o:hralign="center" o:hrstd="t" o:hr="t"/>
        </w:pict>
      </w:r>
    </w:p>
    <w:bookmarkEnd w:id="16"/>
    <w:bookmarkStart w:id="17" w:name="Xd09e09f4d601f52e55b0fffc3ff0117312dc216"/>
    <w:p>
      <w:pPr>
        <w:pStyle w:val="Heading2"/>
      </w:pPr>
      <w:r>
        <w:t xml:space="preserve">4. Risks &amp; Overhangs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Regulatory / MAHA backdrop:</w:t>
      </w:r>
      <w:r>
        <w:t xml:space="preserve"> </w:t>
      </w:r>
      <w:r>
        <w:t xml:space="preserve">The current US administration's focus on sugar-sweetened beverages, food dyes, and the GRAS process, plus potential SNAP restrictions, is a recurring risk-factor theme.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India labeling:</w:t>
      </w:r>
      <w:r>
        <w:t xml:space="preserve"> </w:t>
      </w:r>
      <w:r>
        <w:t xml:space="preserve">In late July, India's FSSAI ordered beverage makers (including Monster, Red Bull, PepsiCo) to stop using the "energy drink" descriptor, giving the industry ~90 days to comply — a potential friction point for one of MNST's fastest-growing markets (India +94.5% in Q1).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Tariffs / aluminum:</w:t>
      </w:r>
      <w:r>
        <w:t xml:space="preserve"> </w:t>
      </w:r>
      <w:r>
        <w:t xml:space="preserve">Ongoing Midwest Premium and tariff pressure on can costs, expected to build modestly through year-end.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Competition:</w:t>
      </w:r>
      <w:r>
        <w:t xml:space="preserve"> </w:t>
      </w:r>
      <w:r>
        <w:t xml:space="preserve">Celsius (CELH) has struggled (stock roughly halved YTD, ~</w:t>
      </w:r>
      <m:oMath>
        <m:r>
          <m:t>28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48), which is a relative positive for Monster's US share, but the category remains fiercely contested (Red Bull, Celsius, plus Coca-Cola/PepsiCo entries).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FX:</w:t>
      </w:r>
      <w:r>
        <w:t xml:space="preserve"> </w:t>
      </w:r>
      <w:r>
        <w:t xml:space="preserve">A ~$89M favorable FX tailwind flattered Q1's reported growth; watch the FX-neutral figure as the cleaner read.</w:t>
      </w:r>
    </w:p>
    <w:p>
      <w:r>
        <w:pict>
          <v:rect style="width:0;height:1.5pt" o:hralign="center" o:hrstd="t" o:hr="t"/>
        </w:pict>
      </w:r>
    </w:p>
    <w:bookmarkEnd w:id="17"/>
    <w:bookmarkStart w:id="18" w:name="X795f114f9985ccb006a7d4f85dc27f9cf722d2f"/>
    <w:p>
      <w:pPr>
        <w:pStyle w:val="Heading2"/>
      </w:pPr>
      <w:r>
        <w:t xml:space="preserve">5. Capital Return</w:t>
      </w:r>
    </w:p>
    <w:p>
      <w:pPr>
        <w:pStyle w:val="FirstParagraph"/>
      </w:pPr>
      <w:r>
        <w:t xml:space="preserve">Monster repurchased ~1.4M shares for ~$100M in Q1 (avg</w:t>
      </w:r>
      <w:r>
        <w:t xml:space="preserve"> </w:t>
      </w:r>
      <m:oMath>
        <m:r>
          <m:t>73.86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400M remaining** on the authorization as of early May. Buybacks are opportunistic and lumpy (zero in Q2 2025) — with the stock now near highs, don't be surprised if repurchase activity was light. The balance sheet is pristine: ~$3.75B cash + investments and no long-term debt.</w:t>
      </w:r>
    </w:p>
    <w:p>
      <w:r>
        <w:pict>
          <v:rect style="width:0;height:1.5pt" o:hralign="center" o:hrstd="t" o:hr="t"/>
        </w:pict>
      </w:r>
    </w:p>
    <w:bookmarkEnd w:id="18"/>
    <w:bookmarkStart w:id="19" w:name="X20a27249154339253bc825345b5fbc3d12d0b65"/>
    <w:p>
      <w:pPr>
        <w:pStyle w:val="Heading2"/>
      </w:pPr>
      <w:r>
        <w:t xml:space="preserve">6. Bottom Line — What to Watch on the Print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Revenue vs. the ~$2.43B bar</w:t>
      </w:r>
      <w:r>
        <w:t xml:space="preserve"> </w:t>
      </w:r>
      <w:r>
        <w:t xml:space="preserve">— and especially whether the growth rate held near the ~24% April pace or decelerated toward mid-teens.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Gross margin vs. the 55.7% year-ago comp</w:t>
      </w:r>
      <w:r>
        <w:t xml:space="preserve"> </w:t>
      </w:r>
      <w:r>
        <w:t xml:space="preserve">— the single biggest swing factor for the stock reaction given elevated cost/mix pressure.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July "current-month" sales datapoint</w:t>
      </w:r>
      <w:r>
        <w:t xml:space="preserve"> </w:t>
      </w:r>
      <w:r>
        <w:t xml:space="preserve">management typically gives on the call — the market's read on Q3 momentum.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Tone on incremental pricing</w:t>
      </w:r>
      <w:r>
        <w:t xml:space="preserve"> </w:t>
      </w:r>
      <w:r>
        <w:t xml:space="preserve">as an offset to aluminum/tariff/freight costs.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International mix</w:t>
      </w:r>
      <w:r>
        <w:t xml:space="preserve"> </w:t>
      </w:r>
      <w:r>
        <w:t xml:space="preserve">and early traction of FLRT/Storm.</w:t>
      </w:r>
    </w:p>
    <w:p>
      <w:pPr>
        <w:pStyle w:val="FirstParagraph"/>
      </w:pPr>
      <w:r>
        <w:t xml:space="preserve">With the stock near record highs and expectations elevated, Monster likely needs both a top-line beat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reassurance on margins to extend the rally; a solid-but-not-spectacular quarter could trigger profit-taking given the run-up.</w:t>
      </w:r>
    </w:p>
    <w:p>
      <w:pPr>
        <w:pStyle w:val="BodyText"/>
      </w:pPr>
      <w:r>
        <w:rPr>
          <w:i/>
          <w:iCs/>
        </w:rPr>
        <w:t xml:space="preserve">Note: All figures reflect company-reported results (Q1 2026 and Q2 2025 releases/calls) and publicly reported consensus estimates; forward numbers are Street estimates, not company guidance (Monster does not issue formal guidance).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2026-08-06T01:11:15Z</dcterms:created>
  <dcterms:modified xsi:type="dcterms:W3CDTF">2026-08-06T01:11:15Z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