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nst-earnings-predictions--2026-08-06"/>
    <w:p>
      <w:pPr>
        <w:pStyle w:val="Heading1"/>
      </w:pPr>
      <w:r>
        <w:t xml:space="preserve">MNST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~$2.48B vs. cons $2.43B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~$0.60 vs. cons $0.58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Gross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~54.2% vs. cons ~55.1%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~$0.62 vs. cons $0.60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Margin outlook (aluminum/tariff cost trajectory)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~54.0% vs. cons ~54.8%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2026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~$0.57 vs. cons $0.55 (Q4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(FADE)</w:t>
            </w:r>
          </w:p>
        </w:tc>
        <w:tc>
          <w:tcPr/>
          <w:p>
            <w:pPr>
              <w:pStyle w:val="Compact"/>
            </w:pPr>
            <w:r>
              <w:t xml:space="preserve">Even with a likely top-line/EPS beat, management's reiteration/extension of the 'modest sequential aluminum cost increase through at least end of 2026' guidance implies further out-period gross-margin cuts; sell-side models built on 55%+ gross margin get trimmed for Q3/Q4/FY27, pulling forward EPS estimates down even as the print itself beats. Combine with a stretched valuation (low-40s trailing P/E, ~38x forward) into an already-priced 36% Q2 rally and an imminent Aug 11 split (no fundamental catalyst), and the setup favors profit-taking/estimate-trimming over sustained follow-through — a 'beat-but-fade' pattern typical of MNST prints when margin commentary disappoints relative to a high bar.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2026-08-06T01:10:31Z</dcterms:created>
  <dcterms:modified xsi:type="dcterms:W3CDTF">2026-08-06T01:10:31Z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