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now have solid material. Let me check the India FSSAI issue a bit more and also confirm current share price/valuation multiples for the final write-up.Now I have enough to write a comprehensive earnings preview.# Monster Beverage (MNST)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Thursday, August 6, 2026, after market close ·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MNST shares closed at</w:t>
      </w:r>
      <w:r>
        <w:t xml:space="preserve"> </w:t>
      </w:r>
      <m:oMath>
        <m:r>
          <m:t>94.48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5</m:t>
        </m:r>
        <m:r>
          <m:rPr>
            <m:sty m:val="p"/>
          </m:rPr>
          <m:t>,</m:t>
        </m:r>
        <m:r>
          <m:t>h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p</m:t>
        </m:r>
        <m:r>
          <m:t>u</m:t>
        </m:r>
        <m:r>
          <m:t>l</m:t>
        </m:r>
        <m:r>
          <m:t>l</m:t>
        </m:r>
        <m:r>
          <m:t>e</m:t>
        </m:r>
        <m:r>
          <m:t>d</m:t>
        </m:r>
        <m:r>
          <m:t>b</m:t>
        </m:r>
        <m:r>
          <m:t>a</m:t>
        </m:r>
        <m:r>
          <m:t>c</m:t>
        </m:r>
        <m:r>
          <m:t>k</m:t>
        </m:r>
        <m:r>
          <m:t>m</m:t>
        </m:r>
        <m:r>
          <m:t>o</m:t>
        </m:r>
        <m:r>
          <m:t>d</m:t>
        </m:r>
        <m:r>
          <m:t>e</m:t>
        </m:r>
        <m:r>
          <m:t>s</m:t>
        </m:r>
        <m:r>
          <m:t>t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a</m:t>
        </m:r>
        <m:r>
          <m:t>n</m:t>
        </m:r>
        <m:r>
          <m:t>a</m:t>
        </m:r>
        <m:r>
          <m:t>l</m:t>
        </m:r>
        <m:r>
          <m:t>l</m:t>
        </m:r>
        <m:r>
          <m:rPr>
            <m:sty m:val="p"/>
          </m:rPr>
          <m:t>−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/</m:t>
        </m:r>
        <m:r>
          <m:t>52</m:t>
        </m:r>
        <m:r>
          <m:rPr>
            <m:sty m:val="p"/>
          </m:rPr>
          <m:t>−</m:t>
        </m:r>
        <m:r>
          <m:t>w</m:t>
        </m:r>
        <m:r>
          <m:t>e</m:t>
        </m:r>
        <m:r>
          <m:t>e</m:t>
        </m:r>
        <m:r>
          <m:t>k</m:t>
        </m:r>
        <m:r>
          <m:t>h</m:t>
        </m:r>
        <m:r>
          <m:t>i</m:t>
        </m:r>
        <m:r>
          <m:t>g</m:t>
        </m:r>
        <m:r>
          <m:t>h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99-100</w:t>
      </w:r>
      <w:r>
        <w:t xml:space="preserve"> </w:t>
      </w:r>
      <w:r>
        <w:t xml:space="preserve">hit in mid-to-late July. The stock has still been a standout performer in 2026 — it was noted as</w:t>
      </w:r>
      <w:r>
        <w:t xml:space="preserve"> </w:t>
      </w:r>
      <w:r>
        <w:rPr>
          <w:b/>
          <w:bCs/>
        </w:rPr>
        <w:t xml:space="preserve">soaring roughly 36% in Q2 alone</w:t>
      </w:r>
      <w:r>
        <w:t xml:space="preserve">, and carries a trailing total shareholder return well above the broader Consumer Staples sector. That run has left valuation stretched: the trailing P/E sits in the</w:t>
      </w:r>
      <w:r>
        <w:t xml:space="preserve"> </w:t>
      </w:r>
      <w:r>
        <w:rPr>
          <w:b/>
          <w:bCs/>
        </w:rPr>
        <w:t xml:space="preserve">low-to-mid 40s</w:t>
      </w:r>
      <w:r>
        <w:t xml:space="preserve"> </w:t>
      </w:r>
      <w:r>
        <w:t xml:space="preserve">and forward P/E around</w:t>
      </w:r>
      <w:r>
        <w:t xml:space="preserve"> </w:t>
      </w:r>
      <w:r>
        <w:rPr>
          <w:b/>
          <w:bCs/>
        </w:rPr>
        <w:t xml:space="preserve">38x</w:t>
      </w:r>
      <w:r>
        <w:t xml:space="preserve">, versus a 10-year median closer to 37x, and at least one bearish narrative pegs fair value in the</w:t>
      </w:r>
      <w:r>
        <w:t xml:space="preserve"> </w:t>
      </w:r>
      <m:oMath>
        <m:r>
          <m:t>69</m:t>
        </m:r>
        <m:r>
          <m:rPr>
            <m:sty m:val="p"/>
          </m:rPr>
          <m:t>−</m:t>
        </m:r>
        <m:r>
          <m:t>70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25</m:t>
        </m:r>
        <m:r>
          <m:rPr>
            <m:sty m:val="p"/>
          </m:rPr>
          <m:t>−</m:t>
        </m:r>
        <m:r>
          <m:t>35</m:t>
        </m:r>
      </m:oMath>
      <w:r>
        <w:rPr>
          <w:b/>
          <w:bCs/>
        </w:rPr>
        <w:t xml:space="preserve">90-95</w:t>
      </w:r>
      <w:r>
        <w:t xml:space="preserve">. In short, the bar for a "clean beat" is elevated — the market has already priced in strong results.</w:t>
      </w:r>
    </w:p>
    <w:p>
      <w:pPr>
        <w:pStyle w:val="BodyText"/>
      </w:pPr>
      <w:r>
        <w:t xml:space="preserve">Adding a technical wrinkle: MNST's board approved a</w:t>
      </w:r>
      <w:r>
        <w:t xml:space="preserve"> </w:t>
      </w:r>
      <w:r>
        <w:rPr>
          <w:b/>
          <w:bCs/>
        </w:rPr>
        <w:t xml:space="preserve">2-for-1 stock split</w:t>
      </w:r>
      <w:r>
        <w:t xml:space="preserve"> </w:t>
      </w:r>
      <w:r>
        <w:t xml:space="preserve">(structured as a 100% stock dividend), with the record date of</w:t>
      </w:r>
      <w:r>
        <w:t xml:space="preserve"> </w:t>
      </w:r>
      <w:r>
        <w:rPr>
          <w:b/>
          <w:bCs/>
        </w:rPr>
        <w:t xml:space="preserve">July 24</w:t>
      </w:r>
      <w:r>
        <w:t xml:space="preserve"> </w:t>
      </w:r>
      <w:r>
        <w:t xml:space="preserve">and split-adjusted trading beginning</w:t>
      </w:r>
      <w:r>
        <w:t xml:space="preserve"> </w:t>
      </w:r>
      <w:r>
        <w:rPr>
          <w:b/>
          <w:bCs/>
        </w:rPr>
        <w:t xml:space="preserve">August 11</w:t>
      </w:r>
      <w:r>
        <w:t xml:space="preserve"> </w:t>
      </w:r>
      <w:r>
        <w:t xml:space="preserve">— just days after this earnings report. This is Monster's sixth split since 2005 and is optics-only (no fundamental impact), but it underscores management's confidence and could add retail attention around the print.</w:t>
      </w:r>
    </w:p>
    <w:bookmarkEnd w:id="9"/>
    <w:bookmarkStart w:id="10" w:name="what-the-street-expects"/>
    <w:p>
      <w:pPr>
        <w:pStyle w:val="Heading2"/>
      </w:pPr>
      <w:r>
        <w:t xml:space="preserve">What the Street Expects</w:t>
      </w:r>
    </w:p>
    <w:p>
      <w:pPr>
        <w:pStyle w:val="FirstParagraph"/>
      </w:pPr>
      <w:r>
        <w:t xml:space="preserve">Consensus for Q2 2026 (per AlphaStreet, 8 analysts):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 $0.58</w:t>
      </w:r>
      <w:r>
        <w:t xml:space="preserve"> </w:t>
      </w:r>
      <w:r>
        <w:t xml:space="preserve">(range</w:t>
      </w:r>
      <w:r>
        <w:t xml:space="preserve"> </w:t>
      </w:r>
      <m:oMath>
        <m:r>
          <m:t>0.55</m:t>
        </m:r>
        <m:r>
          <m:rPr>
            <m:sty m:val="p"/>
          </m:rPr>
          <m:t>–</m:t>
        </m:r>
      </m:oMath>
      <w:r>
        <w:t xml:space="preserve">0.61), implying</w:t>
      </w:r>
      <w:r>
        <w:t xml:space="preserve"> </w:t>
      </w:r>
      <w:r>
        <w:rPr>
          <w:b/>
          <w:bCs/>
        </w:rPr>
        <w:t xml:space="preserve">~11.5% YoY growth</w:t>
      </w:r>
      <w:r>
        <w:t xml:space="preserve"> </w:t>
      </w:r>
      <w:r>
        <w:t xml:space="preserve">versus $0.52 in Q2 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 $2.43 billion</w:t>
      </w:r>
      <w:r>
        <w:t xml:space="preserve"> </w:t>
      </w:r>
      <w:r>
        <w:t xml:space="preserve">(range</w:t>
      </w:r>
      <w:r>
        <w:t xml:space="preserve"> </w:t>
      </w:r>
      <m:oMath>
        <m:r>
          <m:t>2.33</m:t>
        </m:r>
        <m:r>
          <m:t>B</m:t>
        </m:r>
        <m:r>
          <m:rPr>
            <m:sty m:val="p"/>
          </m:rPr>
          <m:t>–</m:t>
        </m:r>
      </m:oMath>
      <w:r>
        <w:t xml:space="preserve">2.51B), implying</w:t>
      </w:r>
      <w:r>
        <w:t xml:space="preserve"> </w:t>
      </w:r>
      <w:r>
        <w:rPr>
          <w:b/>
          <w:bCs/>
        </w:rPr>
        <w:t xml:space="preserve">~15.2% YoY growth</w:t>
      </w:r>
      <w:r>
        <w:t xml:space="preserve"> </w:t>
      </w:r>
      <w:r>
        <w:t xml:space="preserve">versus $2.11 billion in Q2 2025</w:t>
      </w:r>
    </w:p>
    <w:p>
      <w:pPr>
        <w:pStyle w:val="Compact"/>
        <w:numPr>
          <w:ilvl w:val="0"/>
          <w:numId w:val="1001"/>
        </w:numPr>
      </w:pPr>
      <w:r>
        <w:t xml:space="preserve">Estimates have been</w:t>
      </w:r>
      <w:r>
        <w:t xml:space="preserve"> </w:t>
      </w:r>
      <w:r>
        <w:rPr>
          <w:b/>
          <w:bCs/>
        </w:rPr>
        <w:t xml:space="preserve">flat over the last 30 days</w:t>
      </w:r>
      <w:r>
        <w:t xml:space="preserve"> </w:t>
      </w:r>
      <w:r>
        <w:t xml:space="preserve">but</w:t>
      </w:r>
      <w:r>
        <w:t xml:space="preserve"> </w:t>
      </w:r>
      <w:r>
        <w:rPr>
          <w:b/>
          <w:bCs/>
        </w:rPr>
        <w:t xml:space="preserve">crept up ~1.8% over the last 90 days</w:t>
      </w:r>
      <w:r>
        <w:t xml:space="preserve">, suggesting modest, gradual analyst confidence rather than a sharp re-rating either way</w:t>
      </w:r>
    </w:p>
    <w:p>
      <w:pPr>
        <w:pStyle w:val="FirstParagraph"/>
      </w:pPr>
      <w:r>
        <w:t xml:space="preserve">For context, the</w:t>
      </w:r>
      <w:r>
        <w:t xml:space="preserve"> </w:t>
      </w:r>
      <w:r>
        <w:rPr>
          <w:b/>
          <w:bCs/>
        </w:rPr>
        <w:t xml:space="preserve">Q2 2025 base</w:t>
      </w:r>
      <w:r>
        <w:t xml:space="preserve"> </w:t>
      </w:r>
      <w:r>
        <w:t xml:space="preserve">management is being measured against: net income of $488.8M (23.2% net margin), operating income of $631.6M (29.9% operating margin), and gross profit of</w:t>
      </w:r>
      <w:r>
        <w:t xml:space="preserve"> </w:t>
      </w:r>
      <m:oMath>
        <m:r>
          <m:t>1.18</m:t>
        </m:r>
        <m:r>
          <m:t>B</m:t>
        </m:r>
        <m:r>
          <m:rPr>
            <m:sty m:val="p"/>
          </m:rPr>
          <m:t>(</m:t>
        </m:r>
        <m:r>
          <m:t>55.7</m:t>
        </m:r>
      </m:oMath>
      <w:r>
        <w:t xml:space="preserve">0.58 EPS for Q2 2026 and $0.60 for Q3 2026**, so the Street is essentially modeling in-line-with-guidance results.</w:t>
      </w:r>
    </w:p>
    <w:bookmarkEnd w:id="10"/>
    <w:bookmarkStart w:id="11" w:name="momentum-entering-the-quarter"/>
    <w:p>
      <w:pPr>
        <w:pStyle w:val="Heading2"/>
      </w:pPr>
      <w:r>
        <w:t xml:space="preserve">Momentum Entering the Quarter</w:t>
      </w:r>
    </w:p>
    <w:p>
      <w:pPr>
        <w:pStyle w:val="FirstParagraph"/>
      </w:pPr>
      <w:r>
        <w:t xml:space="preserve">Q1 2026 was a blowout: net sales crossing the $2 billion threshold for the first time in the company's history for a fiscal first quarter, with net sales up 26.9% to $2.35 billion and net income per diluted share increasing 27.6% to $0.58. Growth was broad-based: sales increased by double digits compared to the prior year in all geographic regions, and the company gained share in many of its global markets. International strength was a standout, with net sales to customers outside the United States increasing 44.9% to $1.06 billion, approximately 45% of total net sales — the highest international mix on record. Management also flagged that April 2026 sales were tracking</w:t>
      </w:r>
      <w:r>
        <w:t xml:space="preserve"> </w:t>
      </w:r>
      <w:r>
        <w:rPr>
          <w:b/>
          <w:bCs/>
        </w:rPr>
        <w:t xml:space="preserve">~24% higher year-over-year</w:t>
      </w:r>
      <w:r>
        <w:t xml:space="preserve">, reinforcing that momentum carried into Q2.</w:t>
      </w:r>
    </w:p>
    <w:p>
      <w:pPr>
        <w:pStyle w:val="BodyText"/>
      </w:pPr>
      <w:r>
        <w:t xml:space="preserve">Key growth drivers to watch for continuation in Q2: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Zero Sugar/Ultra franchise</w:t>
      </w:r>
      <w:r>
        <w:t xml:space="preserve">: the Ultra brand family grew 20% in Q1 2026 with flagship Ultra White growing 34%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Full-sugar resilience</w:t>
      </w:r>
      <w:r>
        <w:t xml:space="preserve">: the Juice Monster family increased 26%, and total full-sugar offerings grew 8.5%, outpacing the overall full-sugar segment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New launches</w:t>
      </w:r>
      <w:r>
        <w:t xml:space="preserve">: FLRT (wellness/female-targeted, launched late March) and</w:t>
      </w:r>
      <w:r>
        <w:t xml:space="preserve"> </w:t>
      </w:r>
      <w:r>
        <w:rPr>
          <w:b/>
          <w:bCs/>
        </w:rPr>
        <w:t xml:space="preserve">Storm</w:t>
      </w:r>
      <w:r>
        <w:t xml:space="preserve"> </w:t>
      </w:r>
      <w:r>
        <w:t xml:space="preserve">(new wellness brand, launched in May) are still ramping, plus a busy summer/"America 250" innovation slate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International breakouts</w:t>
      </w:r>
      <w:r>
        <w:t xml:space="preserve">: China net sales grew 95.0% and India grew 94.5% in Q1, while Monster overtook both V and Red Bull to become market leader in Australia on a value basis</w:t>
      </w:r>
    </w:p>
    <w:bookmarkEnd w:id="11"/>
    <w:bookmarkStart w:id="12" w:name="margins--the-key-swing-factor"/>
    <w:p>
      <w:pPr>
        <w:pStyle w:val="Heading2"/>
      </w:pPr>
      <w:r>
        <w:t xml:space="preserve">Margins — The Key Swing Factor</w:t>
      </w:r>
    </w:p>
    <w:p>
      <w:pPr>
        <w:pStyle w:val="FirstParagraph"/>
      </w:pPr>
      <w:r>
        <w:t xml:space="preserve">Gross margin has been the primary point of investor scrutiny. In Q1, gross profit as a percentage of net sales was 55.0% compared with 56.5% in the 2025 first quarter, driven by geographical sales mix, increased aluminum can costs and increased freight-in costs from out-of-orbit production, partially offset by pricing actions. Management explicitly guided that "based on current aluminum pricing in the Midwest premium, we expect a continued modest sequential increase in our costs through at least the end of 2026." Aluminum/tariff dynamics have remained a live issue through the summer — the U.S. Midwest Premium benchmark has been elevated by tariffs and by Middle East-related supply disruption, pushing input costs up sharply versus last year. Watch for:</w:t>
      </w:r>
    </w:p>
    <w:p>
      <w:pPr>
        <w:pStyle w:val="Compact"/>
        <w:numPr>
          <w:ilvl w:val="0"/>
          <w:numId w:val="1003"/>
        </w:numPr>
      </w:pPr>
      <w:r>
        <w:t xml:space="preserve">Whether gross margin stabilizes sequentially (out-of-orbit production costs were flagged as a Q1-specific headwind, and management said on the Q1 call the company was</w:t>
      </w:r>
      <w:r>
        <w:t xml:space="preserve"> </w:t>
      </w:r>
      <w:r>
        <w:rPr>
          <w:b/>
          <w:bCs/>
        </w:rPr>
        <w:t xml:space="preserve">"back to operating within our orbits"</w:t>
      </w:r>
      <w:r>
        <w:t xml:space="preserve">)</w:t>
      </w:r>
    </w:p>
    <w:p>
      <w:pPr>
        <w:pStyle w:val="Compact"/>
        <w:numPr>
          <w:ilvl w:val="0"/>
          <w:numId w:val="1003"/>
        </w:numPr>
      </w:pPr>
      <w:r>
        <w:t xml:space="preserve">Incremental pricing actions — both Rob Gehring (Americas) and Guy Carling (EMEA) indicated on the last call that pricing is being continuously evaluated, calling current "modest inflationary pricing" actions successful</w:t>
      </w:r>
    </w:p>
    <w:p>
      <w:pPr>
        <w:pStyle w:val="Compact"/>
        <w:numPr>
          <w:ilvl w:val="0"/>
          <w:numId w:val="1003"/>
        </w:numPr>
      </w:pPr>
      <w:r>
        <w:t xml:space="preserve">The ~1% of margin impact from aluminum specifically cited for Q1, and whether that headwind grows into Q2/Q3 as previously guided</w:t>
      </w:r>
    </w:p>
    <w:bookmarkEnd w:id="12"/>
    <w:bookmarkStart w:id="13" w:name="companycategory-watch-items-for-the-call"/>
    <w:p>
      <w:pPr>
        <w:pStyle w:val="Heading2"/>
      </w:pPr>
      <w:r>
        <w:t xml:space="preserve">Company/Category Watch Items for the Call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International mix vs. margin trade-off</w:t>
      </w:r>
      <w:r>
        <w:t xml:space="preserve"> </w:t>
      </w:r>
      <w:r>
        <w:t xml:space="preserve">— continued outsized EMEA/APAC/LatAm growth is a clear positive for the top line but a headwind to consolidated gross margin (management called out a ~120bps drag from geographic mix in Q1)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Strategic Brands turnaround</w:t>
      </w:r>
      <w:r>
        <w:t xml:space="preserve"> </w:t>
      </w:r>
      <w:r>
        <w:t xml:space="preserve">— Bang, NOS, Full Throttle remain underperformers that management has flagged as a "real huge focus," alongside the Storm repositioning (moving away from association with "Reign Storm") and the newly launched FLRT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India regulatory risk</w:t>
      </w:r>
      <w:r>
        <w:t xml:space="preserve"> </w:t>
      </w:r>
      <w:r>
        <w:t xml:space="preserve">— Monster is among global energy drink makers that received notices from India's food regulator ordering them to stop using the descriptor "energy drink," with a 90-day compliance window after industry agreed to comply. India has been one of Monster's fastest-growing markets (+94.5% in Q1), so any commentary on how a labeling change might affect that growth trajectory will be watched closely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allocation</w:t>
      </w:r>
      <w:r>
        <w:t xml:space="preserve"> </w:t>
      </w:r>
      <w:r>
        <w:t xml:space="preserve">— buybacks continued in Q1 (~</w:t>
      </w:r>
      <m:oMath>
        <m:r>
          <m:t>100</m:t>
        </m:r>
        <m:r>
          <m:t>M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rPr>
            <m:sty m:val="p"/>
          </m:rPr>
          <m:t>,</m:t>
        </m:r>
        <m:r>
          <m:t> </m:t>
        </m:r>
      </m:oMath>
      <w:r>
        <w:t xml:space="preserve">400M remaining authorization); watch for updated repurchase pace, especially with the stock near highs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SAP S/4HANA digital transformation</w:t>
      </w:r>
      <w:r>
        <w:t xml:space="preserve"> </w:t>
      </w:r>
      <w:r>
        <w:t xml:space="preserve">— ongoing platform overhaul (go-live targeted January 1, 2028) continues to add modest G&amp;A cost drag; watch for updated spend commentary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Analyst sentiment has turned increasingly bullish into the print</w:t>
      </w:r>
      <w:r>
        <w:t xml:space="preserve"> </w:t>
      </w:r>
      <w:r>
        <w:t xml:space="preserve">— multiple price target hikes over the summer (Citi to $113, Stifel to $105, JPMorgan to $99, BMO/TD Cowen to $95, UBS raise to a new high) reflect building confidence, a reversal from a more cautious stance (e.g., Redburn's mid-2025 downgrade on tariff concerns, before upgrading back to Buy in June 2026 at a $90 target) — meaning expectations, and the risk of a "sell the news" reaction if results merely meet rather than beat, are elevated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Monster heads into Q2 2026 riding one of its strongest growth stretches in years — record international mix, healthy global category growth (double digits in the U.S., EMEA, APAC, and LatAm per Nielsen), and a deep innovation pipeline (FLRT, Storm, multipack expansion). The core debate is not about demand — it's about</w:t>
      </w:r>
      <w:r>
        <w:t xml:space="preserve"> </w:t>
      </w:r>
      <w:r>
        <w:rPr>
          <w:b/>
          <w:bCs/>
        </w:rPr>
        <w:t xml:space="preserve">margins and valuation</w:t>
      </w:r>
      <w:r>
        <w:t xml:space="preserve">. Consensus already bakes in another ~15% revenue and ~12% EPS growth quarter, and the stock trades at a premium multiple with a stock split imminent (August 11). The most important lines to watch will be</w:t>
      </w:r>
      <w:r>
        <w:t xml:space="preserve"> </w:t>
      </w:r>
      <w:r>
        <w:rPr>
          <w:b/>
          <w:bCs/>
        </w:rPr>
        <w:t xml:space="preserve">gross margin trajectory</w:t>
      </w:r>
      <w:r>
        <w:t xml:space="preserve"> </w:t>
      </w:r>
      <w:r>
        <w:t xml:space="preserve">(can pricing offset aluminum/tariff and mix headwinds),</w:t>
      </w:r>
      <w:r>
        <w:t xml:space="preserve"> </w:t>
      </w:r>
      <w:r>
        <w:rPr>
          <w:b/>
          <w:bCs/>
        </w:rPr>
        <w:t xml:space="preserve">U.S. core brand momentum</w:t>
      </w:r>
      <w:r>
        <w:t xml:space="preserve"> </w:t>
      </w:r>
      <w:r>
        <w:t xml:space="preserve">(Ultra, Juice Monster) versus the Strategic Brands drag (Bang, NOS), and any</w:t>
      </w:r>
      <w:r>
        <w:t xml:space="preserve"> </w:t>
      </w:r>
      <w:r>
        <w:rPr>
          <w:b/>
          <w:bCs/>
        </w:rPr>
        <w:t xml:space="preserve">incremental commentary on pricing actions or the India labeling situation</w:t>
      </w:r>
      <w:r>
        <w:t xml:space="preserve">. Given how much good news is already priced in, an in-line quarter with cautious margin commentary could disappoint despite still-strong absolute growth.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2026-08-06T01:10:30Z</dcterms:created>
  <dcterms:modified xsi:type="dcterms:W3CDTF">2026-08-06T01:10:30Z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