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ec591e6415fd7c256317363cfa1823852a0076e"/>
    <w:p>
      <w:pPr>
        <w:pStyle w:val="Heading1"/>
      </w:pPr>
      <w:r>
        <w:t xml:space="preserve">Monster Beverage (MNST) — 2026 Q2 Earnings Preview</w:t>
      </w:r>
    </w:p>
    <w:p>
      <w:pPr>
        <w:pStyle w:val="BlockText"/>
      </w:pPr>
      <w:r>
        <w:rPr>
          <w:b/>
          <w:bCs/>
        </w:rPr>
        <w:t xml:space="preserve">Timing clarification:</w:t>
      </w:r>
      <w:r>
        <w:t xml:space="preserve"> </w:t>
      </w:r>
      <w:r>
        <w:t xml:space="preserve">Monster is scheduled to report</w:t>
      </w:r>
      <w:r>
        <w:t xml:space="preserve"> </w:t>
      </w:r>
      <w:r>
        <w:rPr>
          <w:b/>
          <w:bCs/>
        </w:rPr>
        <w:t xml:space="preserve">today, Thursday, August 6, 2026</w:t>
      </w:r>
      <w:r>
        <w:t xml:space="preserve">, after the market closes—not tomorrow. The earnings call begins at</w:t>
      </w:r>
      <w:r>
        <w:t xml:space="preserve"> </w:t>
      </w:r>
      <w:r>
        <w:rPr>
          <w:b/>
          <w:bCs/>
        </w:rPr>
        <w:t xml:space="preserve">5:00 p.m. ET</w:t>
      </w:r>
      <w:r>
        <w:t xml:space="preserve">.</w:t>
      </w:r>
    </w:p>
    <w:bookmarkStart w:id="9" w:name="investment-view-going-into-the-report"/>
    <w:p>
      <w:pPr>
        <w:pStyle w:val="Heading2"/>
      </w:pPr>
      <w:r>
        <w:t xml:space="preserve">Investment view going into the report</w:t>
      </w:r>
    </w:p>
    <w:p>
      <w:pPr>
        <w:pStyle w:val="FirstParagraph"/>
      </w:pPr>
      <w:r>
        <w:t xml:space="preserve">Monster enters Q2 with exceptional operating momentum—but also a substantially higher valuation and elevated expectations following its Q1 beat. The central question is no longer whether the energy-drink category is healthy. It is whether Monster can maintain roughly 20% underlying growth while preventing international mix, aluminum, and freight costs from eroding margins.</w:t>
      </w:r>
    </w:p>
    <w:p>
      <w:pPr>
        <w:pStyle w:val="BodyText"/>
      </w:pPr>
      <w:r>
        <w:t xml:space="preserve">A merely in-line quarter may not be enough. The best outcome would combine:</w:t>
      </w:r>
    </w:p>
    <w:p>
      <w:pPr>
        <w:pStyle w:val="Compact"/>
        <w:numPr>
          <w:ilvl w:val="0"/>
          <w:numId w:val="1001"/>
        </w:numPr>
      </w:pPr>
      <w:r>
        <w:t xml:space="preserve">Revenue above the current consensus range;</w:t>
      </w:r>
    </w:p>
    <w:p>
      <w:pPr>
        <w:pStyle w:val="Compact"/>
        <w:numPr>
          <w:ilvl w:val="0"/>
          <w:numId w:val="1001"/>
        </w:numPr>
      </w:pPr>
      <w:r>
        <w:t xml:space="preserve">Stable or improving gross margin;</w:t>
      </w:r>
    </w:p>
    <w:p>
      <w:pPr>
        <w:pStyle w:val="Compact"/>
        <w:numPr>
          <w:ilvl w:val="0"/>
          <w:numId w:val="1001"/>
        </w:numPr>
      </w:pPr>
      <w:r>
        <w:t xml:space="preserve">Continued double-digit U.S. growth and much faster international growth;</w:t>
      </w:r>
    </w:p>
    <w:p>
      <w:pPr>
        <w:pStyle w:val="Compact"/>
        <w:numPr>
          <w:ilvl w:val="0"/>
          <w:numId w:val="1001"/>
        </w:numPr>
      </w:pPr>
      <w:r>
        <w:t xml:space="preserve">Strong July sales commentary; and</w:t>
      </w:r>
    </w:p>
    <w:p>
      <w:pPr>
        <w:pStyle w:val="Compact"/>
        <w:numPr>
          <w:ilvl w:val="0"/>
          <w:numId w:val="1001"/>
        </w:numPr>
      </w:pPr>
      <w:r>
        <w:t xml:space="preserve">Evidence that new products are incremental rather than shifting sales among Monster’s existing brands.</w:t>
      </w:r>
    </w:p>
    <w:p>
      <w:r>
        <w:pict>
          <v:rect style="width:0;height:1.5pt" o:hralign="center" o:hrstd="t" o:hr="t"/>
        </w:pict>
      </w:r>
    </w:p>
    <w:bookmarkEnd w:id="9"/>
    <w:bookmarkStart w:id="12"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comparison</w:t>
            </w:r>
          </w:p>
        </w:tc>
        <w:tc>
          <w:tcPr/>
          <w:p>
            <w:pPr>
              <w:pStyle w:val="Compact"/>
              <w:jc w:val="right"/>
            </w:pPr>
            <w:r>
              <w:t xml:space="preserve">Implied change</w:t>
            </w:r>
          </w:p>
        </w:tc>
      </w:tr>
      <w:tr>
        <w:tc>
          <w:tcPr/>
          <w:p>
            <w:pPr>
              <w:pStyle w:val="Compact"/>
            </w:pPr>
            <w:r>
              <w:t xml:space="preserve">Net sales</w:t>
            </w:r>
          </w:p>
        </w:tc>
        <w:tc>
          <w:tcPr/>
          <w:p>
            <w:pPr>
              <w:pStyle w:val="Compact"/>
              <w:jc w:val="right"/>
            </w:pPr>
            <m:oMath>
              <m:r>
                <m:t>2.43</m:t>
              </m:r>
              <m:r>
                <m:t>B</m:t>
              </m:r>
              <m:r>
                <m:rPr>
                  <m:sty m:val="p"/>
                </m:rPr>
                <m:t>–</m:t>
              </m:r>
            </m:oMath>
            <w:r>
              <w:rPr>
                <w:b/>
                <w:bCs/>
              </w:rPr>
              <w:t xml:space="preserve">2.48B</w:t>
            </w:r>
          </w:p>
        </w:tc>
        <w:tc>
          <w:tcPr/>
          <w:p>
            <w:pPr>
              <w:pStyle w:val="Compact"/>
              <w:jc w:val="right"/>
            </w:pPr>
            <w:r>
              <w:t xml:space="preserve">$2.112B</w:t>
            </w:r>
          </w:p>
        </w:tc>
        <w:tc>
          <w:tcPr/>
          <w:p>
            <w:pPr>
              <w:pStyle w:val="Compact"/>
              <w:jc w:val="right"/>
            </w:pPr>
            <w:r>
              <w:rPr>
                <w:b/>
                <w:bCs/>
              </w:rPr>
              <w:t xml:space="preserve">+15% to +17%</w:t>
            </w:r>
          </w:p>
        </w:tc>
      </w:tr>
      <w:tr>
        <w:tc>
          <w:tcPr/>
          <w:p>
            <w:pPr>
              <w:pStyle w:val="Compact"/>
            </w:pPr>
            <w:r>
              <w:t xml:space="preserve">Adjusted diluted EPS</w:t>
            </w:r>
          </w:p>
        </w:tc>
        <w:tc>
          <w:tcPr/>
          <w:p>
            <w:pPr>
              <w:pStyle w:val="Compact"/>
              <w:jc w:val="right"/>
            </w:pPr>
            <m:oMath>
              <m:r>
                <m:t>0.58</m:t>
              </m:r>
              <m:r>
                <m:rPr>
                  <m:sty m:val="p"/>
                </m:rPr>
                <m:t>–</m:t>
              </m:r>
            </m:oMath>
            <w:r>
              <w:rPr>
                <w:b/>
                <w:bCs/>
              </w:rPr>
              <w:t xml:space="preserve">0.59</w:t>
            </w:r>
          </w:p>
        </w:tc>
        <w:tc>
          <w:tcPr/>
          <w:p>
            <w:pPr>
              <w:pStyle w:val="Compact"/>
              <w:jc w:val="right"/>
            </w:pPr>
            <w:r>
              <w:t xml:space="preserve">$0.52</w:t>
            </w:r>
          </w:p>
        </w:tc>
        <w:tc>
          <w:tcPr/>
          <w:p>
            <w:pPr>
              <w:pStyle w:val="Compact"/>
              <w:jc w:val="right"/>
            </w:pPr>
            <w:r>
              <w:rPr>
                <w:b/>
                <w:bCs/>
              </w:rPr>
              <w:t xml:space="preserve">+12% to +13%</w:t>
            </w:r>
          </w:p>
        </w:tc>
      </w:tr>
      <w:tr>
        <w:tc>
          <w:tcPr/>
          <w:p>
            <w:pPr>
              <w:pStyle w:val="Compact"/>
            </w:pPr>
            <w:r>
              <w:t xml:space="preserve">Q1 2026 gross margin</w:t>
            </w:r>
          </w:p>
        </w:tc>
        <w:tc>
          <w:tcPr/>
          <w:p>
            <w:pPr>
              <w:pStyle w:val="Compact"/>
              <w:jc w:val="right"/>
            </w:pPr>
            <w:r>
              <w:t xml:space="preserve">—</w:t>
            </w:r>
          </w:p>
        </w:tc>
        <w:tc>
          <w:tcPr/>
          <w:p>
            <w:pPr>
              <w:pStyle w:val="Compact"/>
              <w:jc w:val="right"/>
            </w:pPr>
            <w:r>
              <w:t xml:space="preserve">55.0%</w:t>
            </w:r>
          </w:p>
        </w:tc>
        <w:tc>
          <w:tcPr/>
          <w:p>
            <w:pPr>
              <w:pStyle w:val="Compact"/>
              <w:jc w:val="right"/>
            </w:pPr>
            <w:r>
              <w:t xml:space="preserve">Key sequential benchmark</w:t>
            </w:r>
          </w:p>
        </w:tc>
      </w:tr>
      <w:tr>
        <w:tc>
          <w:tcPr/>
          <w:p>
            <w:pPr>
              <w:pStyle w:val="Compact"/>
            </w:pPr>
            <w:r>
              <w:t xml:space="preserve">Share price, Aug. 5 close</w:t>
            </w:r>
          </w:p>
        </w:tc>
        <w:tc>
          <w:tcPr/>
          <w:p>
            <w:pPr>
              <w:pStyle w:val="Compact"/>
              <w:jc w:val="right"/>
            </w:pPr>
            <w:r>
              <w:t xml:space="preserve">$94.48</w:t>
            </w:r>
          </w:p>
        </w:tc>
        <w:tc>
          <w:tcPr/>
          <w:p>
            <w:pPr>
              <w:pStyle w:val="Compact"/>
              <w:jc w:val="right"/>
            </w:pPr>
            <w:r>
              <w:t xml:space="preserve">—</w:t>
            </w:r>
          </w:p>
        </w:tc>
        <w:tc>
          <w:tcPr/>
          <w:p>
            <w:pPr>
              <w:pStyle w:val="Compact"/>
              <w:jc w:val="right"/>
            </w:pPr>
            <w:r>
              <w:t xml:space="preserve">Approximately</w:t>
            </w:r>
            <w:r>
              <w:t xml:space="preserve"> </w:t>
            </w:r>
            <w:r>
              <w:rPr>
                <w:b/>
                <w:bCs/>
              </w:rPr>
              <w:t xml:space="preserve">+24% YTD</w:t>
            </w:r>
          </w:p>
        </w:tc>
      </w:tr>
      <w:tr>
        <w:tc>
          <w:tcPr/>
          <w:p>
            <w:pPr>
              <w:pStyle w:val="Compact"/>
            </w:pPr>
            <w:r>
              <w:t xml:space="preserve">FY2026 EPS consensus</w:t>
            </w:r>
          </w:p>
        </w:tc>
        <w:tc>
          <w:tcPr/>
          <w:p>
            <w:pPr>
              <w:pStyle w:val="Compact"/>
              <w:jc w:val="right"/>
            </w:pPr>
            <w:r>
              <w:t xml:space="preserve">Approximately $2.30</w:t>
            </w:r>
          </w:p>
        </w:tc>
        <w:tc>
          <w:tcPr/>
          <w:p>
            <w:pPr>
              <w:pStyle w:val="Compact"/>
              <w:jc w:val="right"/>
            </w:pPr>
            <w:r>
              <w:t xml:space="preserve">—</w:t>
            </w:r>
          </w:p>
        </w:tc>
        <w:tc>
          <w:tcPr/>
          <w:p>
            <w:pPr>
              <w:pStyle w:val="Compact"/>
              <w:jc w:val="right"/>
            </w:pPr>
            <w:r>
              <w:t xml:space="preserve">Roughly</w:t>
            </w:r>
            <w:r>
              <w:t xml:space="preserve"> </w:t>
            </w:r>
            <w:r>
              <w:rPr>
                <w:b/>
                <w:bCs/>
              </w:rPr>
              <w:t xml:space="preserve">41× forward earnings</w:t>
            </w:r>
          </w:p>
        </w:tc>
      </w:tr>
    </w:tbl>
    <w:p>
      <w:pPr>
        <w:pStyle w:val="BodyText"/>
      </w:pPr>
      <w:r>
        <w:t xml:space="preserve">Published estimates vary modestly by provider: EPS expectations cluster around</w:t>
      </w:r>
      <w:r>
        <w:t xml:space="preserve"> </w:t>
      </w:r>
      <m:oMath>
        <m:r>
          <m:t>0.58</m:t>
        </m:r>
        <m:r>
          <m:rPr>
            <m:sty m:val="p"/>
          </m:rPr>
          <m:t>–</m:t>
        </m:r>
      </m:oMath>
      <w:r>
        <w:t xml:space="preserve">0.59, while revenue estimates range from approximately $2.43 billion to $2.48 billion. (</w:t>
      </w:r>
      <w:hyperlink r:id="rId10">
        <w:r>
          <w:rPr>
            <w:rStyle w:val="Hyperlink"/>
          </w:rPr>
          <w:t xml:space="preserve">barchart.com</w:t>
        </w:r>
      </w:hyperlink>
      <w:r>
        <w:t xml:space="preserve">)</w:t>
      </w:r>
    </w:p>
    <w:p>
      <w:pPr>
        <w:pStyle w:val="BodyText"/>
      </w:pPr>
      <w:r>
        <w:t xml:space="preserve">The year-over-year comparison is against a strong Q2 2025, when sales rose 11.1% to $2.11 billion and adjusted EPS increased 23% to $0.52. (</w:t>
      </w:r>
      <w:hyperlink r:id="rId11">
        <w:r>
          <w:rPr>
            <w:rStyle w:val="Hyperlink"/>
          </w:rPr>
          <w:t xml:space="preserve">investors.monsterbevcorp.com</w:t>
        </w:r>
      </w:hyperlink>
      <w:r>
        <w:t xml:space="preserve">)</w:t>
      </w:r>
    </w:p>
    <w:p>
      <w:r>
        <w:pict>
          <v:rect style="width:0;height:1.5pt" o:hralign="center" o:hrstd="t" o:hr="t"/>
        </w:pict>
      </w:r>
    </w:p>
    <w:bookmarkEnd w:id="12"/>
    <w:bookmarkStart w:id="15" w:name="X319da79d89c3228b9e49c1c12cec7b47a68c00e"/>
    <w:p>
      <w:pPr>
        <w:pStyle w:val="Heading2"/>
      </w:pPr>
      <w:r>
        <w:t xml:space="preserve">1. The top line should be strong—the question is how strong</w:t>
      </w:r>
    </w:p>
    <w:p>
      <w:pPr>
        <w:pStyle w:val="FirstParagraph"/>
      </w:pPr>
      <w:r>
        <w:t xml:space="preserve">Q1 established a high baseline:</w:t>
      </w:r>
    </w:p>
    <w:p>
      <w:pPr>
        <w:pStyle w:val="Compact"/>
        <w:numPr>
          <w:ilvl w:val="0"/>
          <w:numId w:val="1002"/>
        </w:numPr>
      </w:pPr>
      <w:r>
        <w:t xml:space="preserve">Sales increased</w:t>
      </w:r>
      <w:r>
        <w:t xml:space="preserve"> </w:t>
      </w:r>
      <w:r>
        <w:rPr>
          <w:b/>
          <w:bCs/>
        </w:rPr>
        <w:t xml:space="preserve">26.9%</w:t>
      </w:r>
      <w:r>
        <w:t xml:space="preserve"> </w:t>
      </w:r>
      <w:r>
        <w:t xml:space="preserve">to $2.35 billion.</w:t>
      </w:r>
    </w:p>
    <w:p>
      <w:pPr>
        <w:pStyle w:val="Compact"/>
        <w:numPr>
          <w:ilvl w:val="0"/>
          <w:numId w:val="1002"/>
        </w:numPr>
      </w:pPr>
      <w:r>
        <w:t xml:space="preserve">Foreign-exchange-neutral sales increased</w:t>
      </w:r>
      <w:r>
        <w:t xml:space="preserve"> </w:t>
      </w:r>
      <w:r>
        <w:rPr>
          <w:b/>
          <w:bCs/>
        </w:rPr>
        <w:t xml:space="preserve">22.1%</w:t>
      </w:r>
      <w:r>
        <w:t xml:space="preserve">.</w:t>
      </w:r>
    </w:p>
    <w:p>
      <w:pPr>
        <w:pStyle w:val="Compact"/>
        <w:numPr>
          <w:ilvl w:val="0"/>
          <w:numId w:val="1002"/>
        </w:numPr>
      </w:pPr>
      <w:r>
        <w:t xml:space="preserve">Monster Energy Drinks segment sales increased</w:t>
      </w:r>
      <w:r>
        <w:t xml:space="preserve"> </w:t>
      </w:r>
      <w:r>
        <w:rPr>
          <w:b/>
          <w:bCs/>
        </w:rPr>
        <w:t xml:space="preserve">27.6%</w:t>
      </w:r>
      <w:r>
        <w:t xml:space="preserve">.</w:t>
      </w:r>
    </w:p>
    <w:p>
      <w:pPr>
        <w:pStyle w:val="Compact"/>
        <w:numPr>
          <w:ilvl w:val="0"/>
          <w:numId w:val="1002"/>
        </w:numPr>
      </w:pPr>
      <w:r>
        <w:t xml:space="preserve">Sales outside the U.S. increased</w:t>
      </w:r>
      <w:r>
        <w:t xml:space="preserve"> </w:t>
      </w:r>
      <w:r>
        <w:rPr>
          <w:b/>
          <w:bCs/>
        </w:rPr>
        <w:t xml:space="preserve">44.9% reported</w:t>
      </w:r>
      <w:r>
        <w:t xml:space="preserve"> </w:t>
      </w:r>
      <w:r>
        <w:t xml:space="preserve">and</w:t>
      </w:r>
      <w:r>
        <w:t xml:space="preserve"> </w:t>
      </w:r>
      <w:r>
        <w:rPr>
          <w:b/>
          <w:bCs/>
        </w:rPr>
        <w:t xml:space="preserve">32.7% currency-neutral</w:t>
      </w:r>
      <w:r>
        <w:t xml:space="preserve">.</w:t>
      </w:r>
    </w:p>
    <w:p>
      <w:pPr>
        <w:pStyle w:val="Compact"/>
        <w:numPr>
          <w:ilvl w:val="0"/>
          <w:numId w:val="1002"/>
        </w:numPr>
      </w:pPr>
      <w:r>
        <w:t xml:space="preserve">April sales were estimated to be up</w:t>
      </w:r>
      <w:r>
        <w:t xml:space="preserve"> </w:t>
      </w:r>
      <w:r>
        <w:rPr>
          <w:b/>
          <w:bCs/>
        </w:rPr>
        <w:t xml:space="preserve">24.4% reported</w:t>
      </w:r>
      <w:r>
        <w:t xml:space="preserve"> </w:t>
      </w:r>
      <w:r>
        <w:t xml:space="preserve">and</w:t>
      </w:r>
      <w:r>
        <w:t xml:space="preserve"> </w:t>
      </w:r>
      <w:r>
        <w:rPr>
          <w:b/>
          <w:bCs/>
        </w:rPr>
        <w:t xml:space="preserve">21.6% currency-neutral</w:t>
      </w:r>
      <w:r>
        <w:t xml:space="preserve">.</w:t>
      </w:r>
    </w:p>
    <w:p>
      <w:pPr>
        <w:pStyle w:val="FirstParagraph"/>
      </w:pPr>
      <w:r>
        <w:t xml:space="preserve">Monster’s official Q1 results showed operating income up 28.1% and diluted EPS of $0.58, alongside the 26.9% revenue increase. (</w:t>
      </w:r>
      <w:hyperlink r:id="rId13">
        <w:r>
          <w:rPr>
            <w:rStyle w:val="Hyperlink"/>
          </w:rPr>
          <w:t xml:space="preserve">investors.monsterbevcorp.com</w:t>
        </w:r>
      </w:hyperlink>
      <w:r>
        <w:t xml:space="preserve">)</w:t>
      </w:r>
    </w:p>
    <w:p>
      <w:pPr>
        <w:pStyle w:val="BodyText"/>
      </w:pPr>
      <w:r>
        <w:t xml:space="preserve">April’s growth suggests Monster entered Q2 with substantial momentum. However, management explicitly cautions that one month can be distorted by distributor inventory, production schedules, launch timing, promotions and selling days.</w:t>
      </w:r>
    </w:p>
    <w:bookmarkStart w:id="14" w:name="what-would-constitute-a-good-result"/>
    <w:p>
      <w:pPr>
        <w:pStyle w:val="Heading3"/>
      </w:pPr>
      <w:r>
        <w:t xml:space="preserve">What would constitute a good result?</w:t>
      </w:r>
    </w:p>
    <w:p>
      <w:pPr>
        <w:pStyle w:val="Compact"/>
        <w:numPr>
          <w:ilvl w:val="0"/>
          <w:numId w:val="1003"/>
        </w:numPr>
      </w:pPr>
      <w:r>
        <w:rPr>
          <w:b/>
          <w:bCs/>
        </w:rPr>
        <w:t xml:space="preserve">Above $2.48 billion:</w:t>
      </w:r>
      <w:r>
        <w:t xml:space="preserve"> </w:t>
      </w:r>
      <w:r>
        <w:t xml:space="preserve">Strong evidence that underlying growth remained near 20%.</w:t>
      </w:r>
    </w:p>
    <w:p>
      <w:pPr>
        <w:pStyle w:val="Compact"/>
        <w:numPr>
          <w:ilvl w:val="0"/>
          <w:numId w:val="1003"/>
        </w:numPr>
      </w:pPr>
      <m:oMath>
        <m:r>
          <m:t>2.43</m:t>
        </m:r>
        <m:r>
          <m:t>b</m:t>
        </m:r>
        <m:r>
          <m:t>i</m:t>
        </m:r>
        <m:r>
          <m:t>l</m:t>
        </m:r>
        <m:r>
          <m:t>l</m:t>
        </m:r>
        <m:r>
          <m:t>i</m:t>
        </m:r>
        <m:r>
          <m:t>o</m:t>
        </m:r>
        <m:r>
          <m:t>n</m:t>
        </m:r>
        <m:r>
          <m:rPr>
            <m:sty m:val="p"/>
          </m:rPr>
          <m:t>–</m:t>
        </m:r>
      </m:oMath>
      <w:r>
        <w:rPr>
          <w:b/>
          <w:bCs/>
        </w:rPr>
        <w:t xml:space="preserve">2.48 billion:</w:t>
      </w:r>
      <w:r>
        <w:t xml:space="preserve"> </w:t>
      </w:r>
      <w:r>
        <w:t xml:space="preserve">Generally solid, with the stock reaction likely determined by margins and July commentary.</w:t>
      </w:r>
    </w:p>
    <w:p>
      <w:pPr>
        <w:pStyle w:val="Compact"/>
        <w:numPr>
          <w:ilvl w:val="0"/>
          <w:numId w:val="1003"/>
        </w:numPr>
      </w:pPr>
      <w:r>
        <w:rPr>
          <w:b/>
          <w:bCs/>
        </w:rPr>
        <w:t xml:space="preserve">Below $2.43 billion:</w:t>
      </w:r>
      <w:r>
        <w:t xml:space="preserve"> </w:t>
      </w:r>
      <w:r>
        <w:t xml:space="preserve">Would raise questions about deceleration after April, especially given the stock’s valuation.</w:t>
      </w:r>
    </w:p>
    <w:p>
      <w:pPr>
        <w:pStyle w:val="FirstParagraph"/>
      </w:pPr>
      <w:r>
        <w:t xml:space="preserve">Because Monster provides little conventional forward guidance, the reported quarter-to-date July sales figure may matter as much as Q2 revenue itself.</w:t>
      </w:r>
    </w:p>
    <w:p>
      <w:r>
        <w:pict>
          <v:rect style="width:0;height:1.5pt" o:hralign="center" o:hrstd="t" o:hr="t"/>
        </w:pict>
      </w:r>
    </w:p>
    <w:bookmarkEnd w:id="14"/>
    <w:bookmarkEnd w:id="15"/>
    <w:bookmarkStart w:id="17" w:name="Xf97132351bcafe9d66f02de1cfdfca4096ae281"/>
    <w:p>
      <w:pPr>
        <w:pStyle w:val="Heading2"/>
      </w:pPr>
      <w:r>
        <w:t xml:space="preserve">2. Gross margin is probably the report’s most important number</w:t>
      </w:r>
    </w:p>
    <w:p>
      <w:pPr>
        <w:pStyle w:val="FirstParagraph"/>
      </w:pPr>
      <w:r>
        <w:t xml:space="preserve">Q1 gross margin declined</w:t>
      </w:r>
      <w:r>
        <w:t xml:space="preserve"> </w:t>
      </w:r>
      <w:r>
        <w:rPr>
          <w:b/>
          <w:bCs/>
        </w:rPr>
        <w:t xml:space="preserve">150 basis points year over year to 55.0%</w:t>
      </w:r>
      <w:r>
        <w:t xml:space="preserve">, despite pricing. Management attributed the pressure primarily to:</w:t>
      </w:r>
    </w:p>
    <w:p>
      <w:pPr>
        <w:pStyle w:val="Compact"/>
        <w:numPr>
          <w:ilvl w:val="0"/>
          <w:numId w:val="1004"/>
        </w:numPr>
      </w:pPr>
      <w:r>
        <w:t xml:space="preserve">International geographic mix;</w:t>
      </w:r>
    </w:p>
    <w:p>
      <w:pPr>
        <w:pStyle w:val="Compact"/>
        <w:numPr>
          <w:ilvl w:val="0"/>
          <w:numId w:val="1004"/>
        </w:numPr>
      </w:pPr>
      <w:r>
        <w:t xml:space="preserve">Higher aluminum-can costs;</w:t>
      </w:r>
    </w:p>
    <w:p>
      <w:pPr>
        <w:pStyle w:val="Compact"/>
        <w:numPr>
          <w:ilvl w:val="0"/>
          <w:numId w:val="1004"/>
        </w:numPr>
      </w:pPr>
      <w:r>
        <w:t xml:space="preserve">Higher inbound freight;</w:t>
      </w:r>
    </w:p>
    <w:p>
      <w:pPr>
        <w:pStyle w:val="Compact"/>
        <w:numPr>
          <w:ilvl w:val="0"/>
          <w:numId w:val="1004"/>
        </w:numPr>
      </w:pPr>
      <w:r>
        <w:t xml:space="preserve">Out-of-orbit production required to meet stronger-than-planned demand.</w:t>
      </w:r>
    </w:p>
    <w:p>
      <w:pPr>
        <w:pStyle w:val="FirstParagraph"/>
      </w:pPr>
      <w:r>
        <w:t xml:space="preserve">The company estimated geographic mix alone reduced Q1 gross margin by approximately</w:t>
      </w:r>
      <w:r>
        <w:t xml:space="preserve"> </w:t>
      </w:r>
      <w:r>
        <w:rPr>
          <w:b/>
          <w:bCs/>
        </w:rPr>
        <w:t xml:space="preserve">120 basis points</w:t>
      </w:r>
      <w:r>
        <w:t xml:space="preserve">. Management also said the aluminum headwind was just under one percentage point of margin and expected aluminum-related costs to increase modestly through at least the end of 2026.</w:t>
      </w:r>
    </w:p>
    <w:p>
      <w:pPr>
        <w:pStyle w:val="BodyText"/>
      </w:pPr>
      <w:r>
        <w:t xml:space="preserve">There is one potential offset: management said production had returned to normal geographic “orbits,” which should reduce the abnormal freight costs incurred in Q1. Pricing actions taken in late 2025 were also performing as expected.</w:t>
      </w:r>
    </w:p>
    <w:bookmarkStart w:id="16" w:name="useful-margin-framework"/>
    <w:p>
      <w:pPr>
        <w:pStyle w:val="Heading3"/>
      </w:pPr>
      <w:r>
        <w:t xml:space="preserve">Useful margin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gross margin</w:t>
            </w:r>
          </w:p>
        </w:tc>
        <w:tc>
          <w:tcPr/>
          <w:p>
            <w:pPr>
              <w:pStyle w:val="Compact"/>
            </w:pPr>
            <w:r>
              <w:t xml:space="preserve">Likely interpretation</w:t>
            </w:r>
          </w:p>
        </w:tc>
      </w:tr>
      <w:tr>
        <w:tc>
          <w:tcPr/>
          <w:p>
            <w:pPr>
              <w:pStyle w:val="Compact"/>
            </w:pPr>
            <w:r>
              <w:rPr>
                <w:b/>
                <w:bCs/>
              </w:rPr>
              <w:t xml:space="preserve">Above 55.5%</w:t>
            </w:r>
          </w:p>
        </w:tc>
        <w:tc>
          <w:tcPr/>
          <w:p>
            <w:pPr>
              <w:pStyle w:val="Compact"/>
            </w:pPr>
            <w:r>
              <w:t xml:space="preserve">Strong—pricing and supply-chain normalization are offsetting mix and aluminum</w:t>
            </w:r>
          </w:p>
        </w:tc>
      </w:tr>
      <w:tr>
        <w:tc>
          <w:tcPr/>
          <w:p>
            <w:pPr>
              <w:pStyle w:val="Compact"/>
            </w:pPr>
            <w:r>
              <w:rPr>
                <w:b/>
                <w:bCs/>
              </w:rPr>
              <w:t xml:space="preserve">Approximately 55%</w:t>
            </w:r>
          </w:p>
        </w:tc>
        <w:tc>
          <w:tcPr/>
          <w:p>
            <w:pPr>
              <w:pStyle w:val="Compact"/>
            </w:pPr>
            <w:r>
              <w:t xml:space="preserve">Acceptable—dollar-profit growth remains healthy despite mix pressure</w:t>
            </w:r>
          </w:p>
        </w:tc>
      </w:tr>
      <w:tr>
        <w:tc>
          <w:tcPr/>
          <w:p>
            <w:pPr>
              <w:pStyle w:val="Compact"/>
            </w:pPr>
            <w:r>
              <w:rPr>
                <w:b/>
                <w:bCs/>
              </w:rPr>
              <w:t xml:space="preserve">Below 54.5%</w:t>
            </w:r>
          </w:p>
        </w:tc>
        <w:tc>
          <w:tcPr/>
          <w:p>
            <w:pPr>
              <w:pStyle w:val="Compact"/>
            </w:pPr>
            <w:r>
              <w:t xml:space="preserve">Concerning—cost inflation or mix pressure is outrunning pricing</w:t>
            </w:r>
          </w:p>
        </w:tc>
      </w:tr>
    </w:tbl>
    <w:p>
      <w:pPr>
        <w:pStyle w:val="BodyText"/>
      </w:pPr>
      <w:r>
        <w:t xml:space="preserve">The exact level is less important than management’s explanation. A lower percentage caused by exceptionally strong international growth is preferable to deterioration caused by weaker pricing or recurring freight inefficiencies.</w:t>
      </w:r>
    </w:p>
    <w:p>
      <w:r>
        <w:pict>
          <v:rect style="width:0;height:1.5pt" o:hralign="center" o:hrstd="t" o:hr="t"/>
        </w:pict>
      </w:r>
    </w:p>
    <w:bookmarkEnd w:id="16"/>
    <w:bookmarkEnd w:id="17"/>
    <w:bookmarkStart w:id="18" w:name="X9927bc9544999ad0fe5e51804f7832338e076d8"/>
    <w:p>
      <w:pPr>
        <w:pStyle w:val="Heading2"/>
      </w:pPr>
      <w:r>
        <w:t xml:space="preserve">3. International growth is increasingly the core of the thesis</w:t>
      </w:r>
    </w:p>
    <w:p>
      <w:pPr>
        <w:pStyle w:val="FirstParagraph"/>
      </w:pPr>
      <w:r>
        <w:t xml:space="preserve">International sales reached</w:t>
      </w:r>
      <w:r>
        <w:t xml:space="preserve"> </w:t>
      </w:r>
      <w:r>
        <w:rPr>
          <w:b/>
          <w:bCs/>
        </w:rPr>
        <w:t xml:space="preserve">45% of total revenue in Q1</w:t>
      </w:r>
      <w:r>
        <w:t xml:space="preserve">, the highest proportion Monster had recorded for a single quarter.</w:t>
      </w:r>
    </w:p>
    <w:p>
      <w:pPr>
        <w:pStyle w:val="BodyText"/>
      </w:pPr>
      <w:r>
        <w:t xml:space="preserve">Q1 currency-neutral regional growth included:</w:t>
      </w:r>
    </w:p>
    <w:p>
      <w:pPr>
        <w:pStyle w:val="Compact"/>
        <w:numPr>
          <w:ilvl w:val="0"/>
          <w:numId w:val="1005"/>
        </w:numPr>
      </w:pPr>
      <w:r>
        <w:rPr>
          <w:b/>
          <w:bCs/>
        </w:rPr>
        <w:t xml:space="preserve">EMEA:</w:t>
      </w:r>
      <w:r>
        <w:t xml:space="preserve"> </w:t>
      </w:r>
      <w:r>
        <w:t xml:space="preserve">+36.5%</w:t>
      </w:r>
    </w:p>
    <w:p>
      <w:pPr>
        <w:pStyle w:val="Compact"/>
        <w:numPr>
          <w:ilvl w:val="0"/>
          <w:numId w:val="1005"/>
        </w:numPr>
      </w:pPr>
      <w:r>
        <w:rPr>
          <w:b/>
          <w:bCs/>
        </w:rPr>
        <w:t xml:space="preserve">Asia-Pacific:</w:t>
      </w:r>
      <w:r>
        <w:t xml:space="preserve"> </w:t>
      </w:r>
      <w:r>
        <w:t xml:space="preserve">+36.7%</w:t>
      </w:r>
    </w:p>
    <w:p>
      <w:pPr>
        <w:pStyle w:val="Compact"/>
        <w:numPr>
          <w:ilvl w:val="0"/>
          <w:numId w:val="1005"/>
        </w:numPr>
      </w:pPr>
      <w:r>
        <w:rPr>
          <w:b/>
          <w:bCs/>
        </w:rPr>
        <w:t xml:space="preserve">Latin America and the Caribbean:</w:t>
      </w:r>
      <w:r>
        <w:t xml:space="preserve"> </w:t>
      </w:r>
      <w:r>
        <w:t xml:space="preserve">+22.3%</w:t>
      </w:r>
    </w:p>
    <w:p>
      <w:pPr>
        <w:pStyle w:val="FirstParagraph"/>
      </w:pPr>
      <w:r>
        <w:t xml:space="preserve">The strength was broad-based. Monster reported particularly rapid growth in markets including China, India, Brazil and Oceania, while also taking share across many European markets. In Australia, management said Monster had become the market leader by value.</w:t>
      </w:r>
    </w:p>
    <w:p>
      <w:pPr>
        <w:pStyle w:val="BodyText"/>
      </w:pPr>
      <w:r>
        <w:t xml:space="preserve">This creates a favorable long-term trade-off:</w:t>
      </w:r>
    </w:p>
    <w:p>
      <w:pPr>
        <w:pStyle w:val="Compact"/>
        <w:numPr>
          <w:ilvl w:val="0"/>
          <w:numId w:val="1006"/>
        </w:numPr>
      </w:pPr>
      <w:r>
        <w:rPr>
          <w:b/>
          <w:bCs/>
        </w:rPr>
        <w:t xml:space="preserve">Positive:</w:t>
      </w:r>
      <w:r>
        <w:t xml:space="preserve"> </w:t>
      </w:r>
      <w:r>
        <w:t xml:space="preserve">Larger addressable market, rising household penetration, affordable brands such as Predator and Fury, and Coca-Cola-system distribution.</w:t>
      </w:r>
    </w:p>
    <w:p>
      <w:pPr>
        <w:pStyle w:val="Compact"/>
        <w:numPr>
          <w:ilvl w:val="0"/>
          <w:numId w:val="1006"/>
        </w:numPr>
      </w:pPr>
      <w:r>
        <w:rPr>
          <w:b/>
          <w:bCs/>
        </w:rPr>
        <w:t xml:space="preserve">Negative:</w:t>
      </w:r>
      <w:r>
        <w:t xml:space="preserve"> </w:t>
      </w:r>
      <w:r>
        <w:t xml:space="preserve">International revenue generally carries a lower gross-margin percentage than U.S. revenue.</w:t>
      </w:r>
    </w:p>
    <w:p>
      <w:pPr>
        <w:pStyle w:val="FirstParagraph"/>
      </w:pPr>
      <w:r>
        <w:t xml:space="preserve">Investors should focus on whether international growth remains materially above U.S. growth and whether EMEA’s profitability holds up as volume scales.</w:t>
      </w:r>
    </w:p>
    <w:p>
      <w:r>
        <w:pict>
          <v:rect style="width:0;height:1.5pt" o:hralign="center" o:hrstd="t" o:hr="t"/>
        </w:pict>
      </w:r>
    </w:p>
    <w:bookmarkEnd w:id="18"/>
    <w:bookmarkStart w:id="20" w:name="X0da67a7f106a28a3d9ed20cc83daaca52430082"/>
    <w:p>
      <w:pPr>
        <w:pStyle w:val="Heading2"/>
      </w:pPr>
      <w:r>
        <w:t xml:space="preserve">4. U.S. growth is healthy, but performance beneath the flagship brand is mixed</w:t>
      </w:r>
    </w:p>
    <w:p>
      <w:pPr>
        <w:pStyle w:val="FirstParagraph"/>
      </w:pPr>
      <w:r>
        <w:t xml:space="preserve">The U.S. energy category remained strong entering Q2. Monster’s Q1 scanner data showed:</w:t>
      </w:r>
    </w:p>
    <w:p>
      <w:pPr>
        <w:pStyle w:val="Compact"/>
        <w:numPr>
          <w:ilvl w:val="0"/>
          <w:numId w:val="1007"/>
        </w:numPr>
      </w:pPr>
      <w:r>
        <w:t xml:space="preserve">The broader U.S. energy category up approximately</w:t>
      </w:r>
      <w:r>
        <w:t xml:space="preserve"> </w:t>
      </w:r>
      <w:r>
        <w:rPr>
          <w:b/>
          <w:bCs/>
        </w:rPr>
        <w:t xml:space="preserve">10.7%</w:t>
      </w:r>
      <w:r>
        <w:t xml:space="preserve"> </w:t>
      </w:r>
      <w:r>
        <w:t xml:space="preserve">over 13 weeks;</w:t>
      </w:r>
    </w:p>
    <w:p>
      <w:pPr>
        <w:pStyle w:val="Compact"/>
        <w:numPr>
          <w:ilvl w:val="0"/>
          <w:numId w:val="1007"/>
        </w:numPr>
      </w:pPr>
      <w:r>
        <w:t xml:space="preserve">The core Monster brand up</w:t>
      </w:r>
      <w:r>
        <w:t xml:space="preserve"> </w:t>
      </w:r>
      <w:r>
        <w:rPr>
          <w:b/>
          <w:bCs/>
        </w:rPr>
        <w:t xml:space="preserve">10.7%</w:t>
      </w:r>
      <w:r>
        <w:t xml:space="preserve">;</w:t>
      </w:r>
    </w:p>
    <w:p>
      <w:pPr>
        <w:pStyle w:val="Compact"/>
        <w:numPr>
          <w:ilvl w:val="0"/>
          <w:numId w:val="1007"/>
        </w:numPr>
      </w:pPr>
      <w:r>
        <w:t xml:space="preserve">Monster Ultra up approximately</w:t>
      </w:r>
      <w:r>
        <w:t xml:space="preserve"> </w:t>
      </w:r>
      <w:r>
        <w:rPr>
          <w:b/>
          <w:bCs/>
        </w:rPr>
        <w:t xml:space="preserve">20%</w:t>
      </w:r>
      <w:r>
        <w:t xml:space="preserve"> </w:t>
      </w:r>
      <w:r>
        <w:t xml:space="preserve">during Q1;</w:t>
      </w:r>
    </w:p>
    <w:p>
      <w:pPr>
        <w:pStyle w:val="Compact"/>
        <w:numPr>
          <w:ilvl w:val="0"/>
          <w:numId w:val="1007"/>
        </w:numPr>
      </w:pPr>
      <w:r>
        <w:t xml:space="preserve">Ultra White up approximately</w:t>
      </w:r>
      <w:r>
        <w:t xml:space="preserve"> </w:t>
      </w:r>
      <w:r>
        <w:rPr>
          <w:b/>
          <w:bCs/>
        </w:rPr>
        <w:t xml:space="preserve">34%</w:t>
      </w:r>
      <w:r>
        <w:t xml:space="preserve">;</w:t>
      </w:r>
    </w:p>
    <w:p>
      <w:pPr>
        <w:pStyle w:val="Compact"/>
        <w:numPr>
          <w:ilvl w:val="0"/>
          <w:numId w:val="1007"/>
        </w:numPr>
      </w:pPr>
      <w:r>
        <w:t xml:space="preserve">Juice Monster up approximately</w:t>
      </w:r>
      <w:r>
        <w:t xml:space="preserve"> </w:t>
      </w:r>
      <w:r>
        <w:rPr>
          <w:b/>
          <w:bCs/>
        </w:rPr>
        <w:t xml:space="preserve">26%</w:t>
      </w:r>
      <w:r>
        <w:t xml:space="preserve">.</w:t>
      </w:r>
    </w:p>
    <w:p>
      <w:pPr>
        <w:pStyle w:val="FirstParagraph"/>
      </w:pPr>
      <w:r>
        <w:t xml:space="preserve">However, several secondary brands were weak in the most recent company-provided U.S. scanner data:</w:t>
      </w:r>
    </w:p>
    <w:p>
      <w:pPr>
        <w:pStyle w:val="Compact"/>
        <w:numPr>
          <w:ilvl w:val="0"/>
          <w:numId w:val="1008"/>
        </w:numPr>
      </w:pPr>
      <w:r>
        <w:t xml:space="preserve">Reign;</w:t>
      </w:r>
    </w:p>
    <w:p>
      <w:pPr>
        <w:pStyle w:val="Compact"/>
        <w:numPr>
          <w:ilvl w:val="0"/>
          <w:numId w:val="1008"/>
        </w:numPr>
      </w:pPr>
      <w:r>
        <w:t xml:space="preserve">Bang;</w:t>
      </w:r>
    </w:p>
    <w:p>
      <w:pPr>
        <w:pStyle w:val="Compact"/>
        <w:numPr>
          <w:ilvl w:val="0"/>
          <w:numId w:val="1008"/>
        </w:numPr>
      </w:pPr>
      <w:r>
        <w:t xml:space="preserve">NOS;</w:t>
      </w:r>
    </w:p>
    <w:p>
      <w:pPr>
        <w:pStyle w:val="Compact"/>
        <w:numPr>
          <w:ilvl w:val="0"/>
          <w:numId w:val="1008"/>
        </w:numPr>
      </w:pPr>
      <w:r>
        <w:t xml:space="preserve">Full Throttle.</w:t>
      </w:r>
    </w:p>
    <w:p>
      <w:pPr>
        <w:pStyle w:val="FirstParagraph"/>
      </w:pPr>
      <w:r>
        <w:t xml:space="preserve">That distinction matters. Monster’s flagship franchise is performing well, but part of the portfolio still requires repair. Management has discussed renewed marketing behind Bang and repositioning Reign Storm as the stand-alone</w:t>
      </w:r>
      <w:r>
        <w:t xml:space="preserve"> </w:t>
      </w:r>
      <w:r>
        <w:rPr>
          <w:b/>
          <w:bCs/>
        </w:rPr>
        <w:t xml:space="preserve">Storm</w:t>
      </w:r>
      <w:r>
        <w:t xml:space="preserve"> </w:t>
      </w:r>
      <w:r>
        <w:t xml:space="preserve">wellness brand.</w:t>
      </w:r>
    </w:p>
    <w:bookmarkStart w:id="19" w:name="innovation-to-monitor"/>
    <w:p>
      <w:pPr>
        <w:pStyle w:val="Heading3"/>
      </w:pPr>
      <w:r>
        <w:t xml:space="preserve">Innovation to monitor</w:t>
      </w:r>
    </w:p>
    <w:p>
      <w:pPr>
        <w:pStyle w:val="FirstParagraph"/>
      </w:pPr>
      <w:r>
        <w:t xml:space="preserve">The Q2 call should provide the first meaningful update on:</w:t>
      </w:r>
    </w:p>
    <w:p>
      <w:pPr>
        <w:pStyle w:val="Compact"/>
        <w:numPr>
          <w:ilvl w:val="0"/>
          <w:numId w:val="1009"/>
        </w:numPr>
      </w:pPr>
      <w:r>
        <w:rPr>
          <w:b/>
          <w:bCs/>
        </w:rPr>
        <w:t xml:space="preserve">FLRT</w:t>
      </w:r>
      <w:r>
        <w:t xml:space="preserve">, aimed more directly at female consumers;</w:t>
      </w:r>
    </w:p>
    <w:p>
      <w:pPr>
        <w:pStyle w:val="Compact"/>
        <w:numPr>
          <w:ilvl w:val="0"/>
          <w:numId w:val="1009"/>
        </w:numPr>
      </w:pPr>
      <w:r>
        <w:rPr>
          <w:b/>
          <w:bCs/>
        </w:rPr>
        <w:t xml:space="preserve">Storm</w:t>
      </w:r>
      <w:r>
        <w:t xml:space="preserve">, Monster’s repositioned wellness offering;</w:t>
      </w:r>
    </w:p>
    <w:p>
      <w:pPr>
        <w:pStyle w:val="Compact"/>
        <w:numPr>
          <w:ilvl w:val="0"/>
          <w:numId w:val="1009"/>
        </w:numPr>
      </w:pPr>
      <w:r>
        <w:t xml:space="preserve">Lando Norris Zero Sugar;</w:t>
      </w:r>
    </w:p>
    <w:p>
      <w:pPr>
        <w:pStyle w:val="Compact"/>
        <w:numPr>
          <w:ilvl w:val="0"/>
          <w:numId w:val="1009"/>
        </w:numPr>
      </w:pPr>
      <w:r>
        <w:t xml:space="preserve">Ultra and Juice Monster flavor extensions;</w:t>
      </w:r>
    </w:p>
    <w:p>
      <w:pPr>
        <w:pStyle w:val="Compact"/>
        <w:numPr>
          <w:ilvl w:val="0"/>
          <w:numId w:val="1009"/>
        </w:numPr>
      </w:pPr>
      <w:r>
        <w:t xml:space="preserve">Expanded multipacks and club-channel formats;</w:t>
      </w:r>
    </w:p>
    <w:p>
      <w:pPr>
        <w:pStyle w:val="Compact"/>
        <w:numPr>
          <w:ilvl w:val="0"/>
          <w:numId w:val="1009"/>
        </w:numPr>
      </w:pPr>
      <w:r>
        <w:t xml:space="preserve">New 12-ounce package configurations.</w:t>
      </w:r>
    </w:p>
    <w:p>
      <w:pPr>
        <w:pStyle w:val="FirstParagraph"/>
      </w:pPr>
      <w:r>
        <w:t xml:space="preserve">A favorable report would show these launches expanding consumers and occasions while the core Monster products continue growing. Strong launch sales accompanied by weaker core sales would be less compelling.</w:t>
      </w:r>
    </w:p>
    <w:p>
      <w:r>
        <w:pict>
          <v:rect style="width:0;height:1.5pt" o:hralign="center" o:hrstd="t" o:hr="t"/>
        </w:pict>
      </w:r>
    </w:p>
    <w:bookmarkEnd w:id="19"/>
    <w:bookmarkEnd w:id="20"/>
    <w:bookmarkStart w:id="21" w:name="X94bbe07a87aa55c15d6a4f24e0be9b07d717377"/>
    <w:p>
      <w:pPr>
        <w:pStyle w:val="Heading2"/>
      </w:pPr>
      <w:r>
        <w:t xml:space="preserve">5. Average revenue per case needs context</w:t>
      </w:r>
    </w:p>
    <w:p>
      <w:pPr>
        <w:pStyle w:val="FirstParagraph"/>
      </w:pPr>
      <w:r>
        <w:t xml:space="preserve">In Q1, energy-drink case volume increased much faster than revenue, while average net sales per case decreased to</w:t>
      </w:r>
      <w:r>
        <w:t xml:space="preserve"> </w:t>
      </w:r>
      <w:r>
        <w:rPr>
          <w:b/>
          <w:bCs/>
        </w:rPr>
        <w:t xml:space="preserve">$8.44 from $8.51</w:t>
      </w:r>
      <w:r>
        <w:t xml:space="preserve">. The gap reflected geographic, package and channel mix rather than an apparent breakdown in pricing.</w:t>
      </w:r>
    </w:p>
    <w:p>
      <w:pPr>
        <w:pStyle w:val="BodyText"/>
      </w:pPr>
      <w:r>
        <w:t xml:space="preserve">Q2 should reveal whether the decline is stabilizing. Investors should distinguish among:</w:t>
      </w:r>
    </w:p>
    <w:p>
      <w:pPr>
        <w:pStyle w:val="Compact"/>
        <w:numPr>
          <w:ilvl w:val="0"/>
          <w:numId w:val="1010"/>
        </w:numPr>
      </w:pPr>
      <w:r>
        <w:rPr>
          <w:b/>
          <w:bCs/>
        </w:rPr>
        <w:t xml:space="preserve">Healthy dilution:</w:t>
      </w:r>
      <w:r>
        <w:t xml:space="preserve"> </w:t>
      </w:r>
      <w:r>
        <w:t xml:space="preserve">Faster growth in lower-priced international and affordable-brand volumes;</w:t>
      </w:r>
    </w:p>
    <w:p>
      <w:pPr>
        <w:pStyle w:val="Compact"/>
        <w:numPr>
          <w:ilvl w:val="0"/>
          <w:numId w:val="1010"/>
        </w:numPr>
      </w:pPr>
      <w:r>
        <w:rPr>
          <w:b/>
          <w:bCs/>
        </w:rPr>
        <w:t xml:space="preserve">Strategic dilution:</w:t>
      </w:r>
      <w:r>
        <w:t xml:space="preserve"> </w:t>
      </w:r>
      <w:r>
        <w:t xml:space="preserve">Higher multipack and club-channel penetration;</w:t>
      </w:r>
    </w:p>
    <w:p>
      <w:pPr>
        <w:pStyle w:val="Compact"/>
        <w:numPr>
          <w:ilvl w:val="0"/>
          <w:numId w:val="1010"/>
        </w:numPr>
      </w:pPr>
      <w:r>
        <w:rPr>
          <w:b/>
          <w:bCs/>
        </w:rPr>
        <w:t xml:space="preserve">Unhealthy dilution:</w:t>
      </w:r>
      <w:r>
        <w:t xml:space="preserve"> </w:t>
      </w:r>
      <w:r>
        <w:t xml:space="preserve">Elevated promotions, competitive discounting or ineffective pricing.</w:t>
      </w:r>
    </w:p>
    <w:p>
      <w:pPr>
        <w:pStyle w:val="FirstParagraph"/>
      </w:pPr>
      <w:r>
        <w:t xml:space="preserve">Unit growth accompanied by modest revenue-per-case pressure can still produce excellent economics. The concern would be slower volume growth and continued price-per-case erosion at the same time.</w:t>
      </w:r>
    </w:p>
    <w:p>
      <w:r>
        <w:pict>
          <v:rect style="width:0;height:1.5pt" o:hralign="center" o:hrstd="t" o:hr="t"/>
        </w:pict>
      </w:r>
    </w:p>
    <w:bookmarkEnd w:id="21"/>
    <w:bookmarkStart w:id="22" w:name="X633f7f9b76e02f92c5796ded31072e271910191"/>
    <w:p>
      <w:pPr>
        <w:pStyle w:val="Heading2"/>
      </w:pPr>
      <w:r>
        <w:t xml:space="preserve">6. Alcohol remains small but should continue improving</w:t>
      </w:r>
    </w:p>
    <w:p>
      <w:pPr>
        <w:pStyle w:val="FirstParagraph"/>
      </w:pPr>
      <w:r>
        <w:t xml:space="preserve">The Alcohol Brands segment remains a minor contributor:</w:t>
      </w:r>
    </w:p>
    <w:p>
      <w:pPr>
        <w:pStyle w:val="Compact"/>
        <w:numPr>
          <w:ilvl w:val="0"/>
          <w:numId w:val="1011"/>
        </w:numPr>
      </w:pPr>
      <w:r>
        <w:t xml:space="preserve">Q1 sales declined</w:t>
      </w:r>
      <w:r>
        <w:t xml:space="preserve"> </w:t>
      </w:r>
      <w:r>
        <w:rPr>
          <w:b/>
          <w:bCs/>
        </w:rPr>
        <w:t xml:space="preserve">5.9%</w:t>
      </w:r>
      <w:r>
        <w:t xml:space="preserve"> </w:t>
      </w:r>
      <w:r>
        <w:t xml:space="preserve">to $32.7 million.</w:t>
      </w:r>
    </w:p>
    <w:p>
      <w:pPr>
        <w:pStyle w:val="Compact"/>
        <w:numPr>
          <w:ilvl w:val="0"/>
          <w:numId w:val="1011"/>
        </w:numPr>
      </w:pPr>
      <w:r>
        <w:t xml:space="preserve">The segment’s adjusted operating loss narrowed to approximately</w:t>
      </w:r>
      <w:r>
        <w:t xml:space="preserve"> </w:t>
      </w:r>
      <w:r>
        <w:rPr>
          <w:b/>
          <w:bCs/>
        </w:rPr>
        <w:t xml:space="preserve">$9.6 million</w:t>
      </w:r>
      <w:r>
        <w:t xml:space="preserve">, from roughly $19.1 million a year earlier.</w:t>
      </w:r>
    </w:p>
    <w:p>
      <w:pPr>
        <w:pStyle w:val="FirstParagraph"/>
      </w:pPr>
      <w:r>
        <w:t xml:space="preserve">The likely investor preference is continued loss reduction rather than renewed spending to chase growth. Given the segment’s small scale, it should not dominate the stock reaction unless losses unexpectedly reaccelerate or management announces a major strategic change.</w:t>
      </w:r>
    </w:p>
    <w:p>
      <w:r>
        <w:pict>
          <v:rect style="width:0;height:1.5pt" o:hralign="center" o:hrstd="t" o:hr="t"/>
        </w:pict>
      </w:r>
    </w:p>
    <w:bookmarkEnd w:id="22"/>
    <w:bookmarkStart w:id="23" w:name="X5299d94ddc59c3db6f65a56d28ce79561132489"/>
    <w:p>
      <w:pPr>
        <w:pStyle w:val="Heading2"/>
      </w:pPr>
      <w:r>
        <w:t xml:space="preserve">7. Balance sheet and capital allocation</w:t>
      </w:r>
    </w:p>
    <w:p>
      <w:pPr>
        <w:pStyle w:val="FirstParagraph"/>
      </w:pPr>
      <w:r>
        <w:t xml:space="preserve">At the end of Q1, Monster held roughly:</w:t>
      </w:r>
    </w:p>
    <w:p>
      <w:pPr>
        <w:pStyle w:val="Compact"/>
        <w:numPr>
          <w:ilvl w:val="0"/>
          <w:numId w:val="1012"/>
        </w:numPr>
      </w:pPr>
      <w:r>
        <w:rPr>
          <w:b/>
          <w:bCs/>
        </w:rPr>
        <w:t xml:space="preserve">$2.04 billion</w:t>
      </w:r>
      <w:r>
        <w:t xml:space="preserve"> </w:t>
      </w:r>
      <w:r>
        <w:t xml:space="preserve">in cash;</w:t>
      </w:r>
    </w:p>
    <w:p>
      <w:pPr>
        <w:pStyle w:val="Compact"/>
        <w:numPr>
          <w:ilvl w:val="0"/>
          <w:numId w:val="1012"/>
        </w:numPr>
      </w:pPr>
      <w:r>
        <w:rPr>
          <w:b/>
          <w:bCs/>
        </w:rPr>
        <w:t xml:space="preserve">$945 million</w:t>
      </w:r>
      <w:r>
        <w:t xml:space="preserve"> </w:t>
      </w:r>
      <w:r>
        <w:t xml:space="preserve">in short-term investments;</w:t>
      </w:r>
    </w:p>
    <w:p>
      <w:pPr>
        <w:pStyle w:val="Compact"/>
        <w:numPr>
          <w:ilvl w:val="0"/>
          <w:numId w:val="1012"/>
        </w:numPr>
      </w:pPr>
      <w:r>
        <w:rPr>
          <w:b/>
          <w:bCs/>
        </w:rPr>
        <w:t xml:space="preserve">$770 million</w:t>
      </w:r>
      <w:r>
        <w:t xml:space="preserve"> </w:t>
      </w:r>
      <w:r>
        <w:t xml:space="preserve">in other investments;</w:t>
      </w:r>
    </w:p>
    <w:p>
      <w:pPr>
        <w:pStyle w:val="Compact"/>
        <w:numPr>
          <w:ilvl w:val="0"/>
          <w:numId w:val="1012"/>
        </w:numPr>
      </w:pPr>
      <w:r>
        <w:t xml:space="preserve">No meaningful conventional debt burden.</w:t>
      </w:r>
    </w:p>
    <w:p>
      <w:pPr>
        <w:pStyle w:val="FirstParagraph"/>
      </w:pPr>
      <w:r>
        <w:t xml:space="preserve">The company repurchased approximately $100 million of stock in Q1 at an average price of $73.86, leaving $400 million under its authorization as of early May.</w:t>
      </w:r>
    </w:p>
    <w:p>
      <w:pPr>
        <w:pStyle w:val="BodyText"/>
      </w:pPr>
      <w:r>
        <w:t xml:space="preserve">Repurchases at current prices would be less obviously accretive than the Q1 purchases. Investors should nevertheless listen for an updated authorization balance and whether cash is being reserved for additional manufacturing, distribution, technology or brand investments.</w:t>
      </w:r>
    </w:p>
    <w:p>
      <w:r>
        <w:pict>
          <v:rect style="width:0;height:1.5pt" o:hralign="center" o:hrstd="t" o:hr="t"/>
        </w:pict>
      </w:r>
    </w:p>
    <w:bookmarkEnd w:id="23"/>
    <w:bookmarkStart w:id="24" w:name="X4417ae065bc67152a706700b37402adfaec4f42"/>
    <w:p>
      <w:pPr>
        <w:pStyle w:val="Heading2"/>
      </w:pPr>
      <w:r>
        <w:t xml:space="preserve">Stock split: relevant mechanically, not fundamentally</w:t>
      </w:r>
    </w:p>
    <w:p>
      <w:pPr>
        <w:pStyle w:val="FirstParagraph"/>
      </w:pPr>
      <w:r>
        <w:t xml:space="preserve">Monster declared a</w:t>
      </w:r>
      <w:r>
        <w:t xml:space="preserve"> </w:t>
      </w:r>
      <w:r>
        <w:rPr>
          <w:b/>
          <w:bCs/>
        </w:rPr>
        <w:t xml:space="preserve">2-for-1 stock split</w:t>
      </w:r>
      <w:r>
        <w:t xml:space="preserve">:</w:t>
      </w:r>
    </w:p>
    <w:p>
      <w:pPr>
        <w:pStyle w:val="Compact"/>
        <w:numPr>
          <w:ilvl w:val="0"/>
          <w:numId w:val="1013"/>
        </w:numPr>
      </w:pPr>
      <w:r>
        <w:t xml:space="preserve">Additional shares are distributed after the close on</w:t>
      </w:r>
      <w:r>
        <w:t xml:space="preserve"> </w:t>
      </w:r>
      <w:r>
        <w:rPr>
          <w:b/>
          <w:bCs/>
        </w:rPr>
        <w:t xml:space="preserve">August 10</w:t>
      </w:r>
      <w:r>
        <w:t xml:space="preserve">.</w:t>
      </w:r>
    </w:p>
    <w:p>
      <w:pPr>
        <w:pStyle w:val="Compact"/>
        <w:numPr>
          <w:ilvl w:val="0"/>
          <w:numId w:val="1013"/>
        </w:numPr>
      </w:pPr>
      <w:r>
        <w:t xml:space="preserve">Split-adjusted trading is expected to begin</w:t>
      </w:r>
      <w:r>
        <w:t xml:space="preserve"> </w:t>
      </w:r>
      <w:r>
        <w:rPr>
          <w:b/>
          <w:bCs/>
        </w:rPr>
        <w:t xml:space="preserve">August 11</w:t>
      </w:r>
      <w:r>
        <w:t xml:space="preserve">.</w:t>
      </w:r>
    </w:p>
    <w:p>
      <w:pPr>
        <w:pStyle w:val="Compact"/>
        <w:numPr>
          <w:ilvl w:val="0"/>
          <w:numId w:val="1013"/>
        </w:numPr>
      </w:pPr>
      <w:r>
        <w:t xml:space="preserve">At the August 5 closing price, the mechanical split-adjusted equivalent would be approximately</w:t>
      </w:r>
      <w:r>
        <w:t xml:space="preserve"> </w:t>
      </w:r>
      <w:r>
        <w:rPr>
          <w:b/>
          <w:bCs/>
        </w:rPr>
        <w:t xml:space="preserve">$47.24</w:t>
      </w:r>
      <w:r>
        <w:t xml:space="preserve">.</w:t>
      </w:r>
    </w:p>
    <w:p>
      <w:pPr>
        <w:pStyle w:val="FirstParagraph"/>
      </w:pPr>
      <w:r>
        <w:t xml:space="preserve">The split does not change Monster’s valuation or intrinsic value. It may increase retail accessibility and trading liquidity, but the earnings reaction should be evaluated on a percentage basis rather than the post-split dollar move.</w:t>
      </w:r>
    </w:p>
    <w:p>
      <w:r>
        <w:pict>
          <v:rect style="width:0;height:1.5pt" o:hralign="center" o:hrstd="t" o:hr="t"/>
        </w:pict>
      </w:r>
    </w:p>
    <w:bookmarkEnd w:id="24"/>
    <w:bookmarkStart w:id="25" w:name="key-questions-for-management"/>
    <w:p>
      <w:pPr>
        <w:pStyle w:val="Heading2"/>
      </w:pPr>
      <w:r>
        <w:t xml:space="preserve">Key questions for management</w:t>
      </w:r>
    </w:p>
    <w:p>
      <w:pPr>
        <w:pStyle w:val="Compact"/>
        <w:numPr>
          <w:ilvl w:val="0"/>
          <w:numId w:val="1014"/>
        </w:numPr>
      </w:pPr>
      <w:r>
        <w:rPr>
          <w:b/>
          <w:bCs/>
        </w:rPr>
        <w:t xml:space="preserve">How did July sales compare with July 2025, both reported and currency-neutral?</w:t>
      </w:r>
    </w:p>
    <w:p>
      <w:pPr>
        <w:pStyle w:val="Compact"/>
        <w:numPr>
          <w:ilvl w:val="0"/>
          <w:numId w:val="1014"/>
        </w:numPr>
      </w:pPr>
      <w:r>
        <w:rPr>
          <w:b/>
          <w:bCs/>
        </w:rPr>
        <w:t xml:space="preserve">Has all out-of-orbit production ended, and how much freight benefit should appear in the second half?</w:t>
      </w:r>
    </w:p>
    <w:p>
      <w:pPr>
        <w:pStyle w:val="Compact"/>
        <w:numPr>
          <w:ilvl w:val="0"/>
          <w:numId w:val="1014"/>
        </w:numPr>
      </w:pPr>
      <w:r>
        <w:rPr>
          <w:b/>
          <w:bCs/>
        </w:rPr>
        <w:t xml:space="preserve">How much incremental pressure from aluminum and the Midwest Premium is expected in Q3?</w:t>
      </w:r>
    </w:p>
    <w:p>
      <w:pPr>
        <w:pStyle w:val="Compact"/>
        <w:numPr>
          <w:ilvl w:val="0"/>
          <w:numId w:val="1014"/>
        </w:numPr>
      </w:pPr>
      <w:r>
        <w:rPr>
          <w:b/>
          <w:bCs/>
        </w:rPr>
        <w:t xml:space="preserve">Are further U.S. or international price increases likely?</w:t>
      </w:r>
    </w:p>
    <w:p>
      <w:pPr>
        <w:pStyle w:val="Compact"/>
        <w:numPr>
          <w:ilvl w:val="0"/>
          <w:numId w:val="1014"/>
        </w:numPr>
      </w:pPr>
      <w:r>
        <w:rPr>
          <w:b/>
          <w:bCs/>
        </w:rPr>
        <w:t xml:space="preserve">How are FLRT and Storm performing relative to retailer and management expectations?</w:t>
      </w:r>
    </w:p>
    <w:p>
      <w:pPr>
        <w:pStyle w:val="Compact"/>
        <w:numPr>
          <w:ilvl w:val="0"/>
          <w:numId w:val="1014"/>
        </w:numPr>
      </w:pPr>
      <w:r>
        <w:rPr>
          <w:b/>
          <w:bCs/>
        </w:rPr>
        <w:t xml:space="preserve">Are Bang and Reign improving, or is growth still concentrated in the flagship Monster franchise?</w:t>
      </w:r>
    </w:p>
    <w:p>
      <w:pPr>
        <w:pStyle w:val="Compact"/>
        <w:numPr>
          <w:ilvl w:val="0"/>
          <w:numId w:val="1014"/>
        </w:numPr>
      </w:pPr>
      <w:r>
        <w:rPr>
          <w:b/>
          <w:bCs/>
        </w:rPr>
        <w:t xml:space="preserve">How much of international growth reflects category growth versus market-share gains and distribution expansion?</w:t>
      </w:r>
    </w:p>
    <w:p>
      <w:pPr>
        <w:pStyle w:val="Compact"/>
        <w:numPr>
          <w:ilvl w:val="0"/>
          <w:numId w:val="1014"/>
        </w:numPr>
      </w:pPr>
      <w:r>
        <w:rPr>
          <w:b/>
          <w:bCs/>
        </w:rPr>
        <w:t xml:space="preserve">Can Alcohol Brands continue narrowing its operating loss?</w:t>
      </w:r>
    </w:p>
    <w:p>
      <w:pPr>
        <w:pStyle w:val="Compact"/>
        <w:numPr>
          <w:ilvl w:val="0"/>
          <w:numId w:val="1014"/>
        </w:numPr>
      </w:pPr>
      <w:r>
        <w:rPr>
          <w:b/>
          <w:bCs/>
        </w:rPr>
        <w:t xml:space="preserve">How should investors think about gross margin as international sales approach half of consolidated revenue?</w:t>
      </w:r>
    </w:p>
    <w:p>
      <w:pPr>
        <w:pStyle w:val="Compact"/>
        <w:numPr>
          <w:ilvl w:val="0"/>
          <w:numId w:val="1014"/>
        </w:numPr>
      </w:pPr>
      <w:r>
        <w:rPr>
          <w:b/>
          <w:bCs/>
        </w:rPr>
        <w:t xml:space="preserve">Are the recent Indian labeling restrictions likely to affect sales, packaging or marketing?</w:t>
      </w:r>
    </w:p>
    <w:p>
      <w:pPr>
        <w:pStyle w:val="FirstParagraph"/>
      </w:pPr>
      <w:r>
        <w:t xml:space="preserve">India’s regulator recently directed beverage companies, including Monster, to stop using the “energy drink” descriptor, reportedly giving the industry 90 days to comply. The near-term financial effect is likely limited, but management’s response will be worth monitoring given India’s rapid growth.</w:t>
      </w:r>
    </w:p>
    <w:p>
      <w:r>
        <w:pict>
          <v:rect style="width:0;height:1.5pt" o:hralign="center" o:hrstd="t" o:hr="t"/>
        </w:pict>
      </w:r>
    </w:p>
    <w:bookmarkEnd w:id="25"/>
    <w:bookmarkStart w:id="29" w:name="bull-base-and-bear-cases"/>
    <w:p>
      <w:pPr>
        <w:pStyle w:val="Heading2"/>
      </w:pPr>
      <w:r>
        <w:t xml:space="preserve">Bull, base and bear cases</w:t>
      </w:r>
    </w:p>
    <w:bookmarkStart w:id="26" w:name="bull-case"/>
    <w:p>
      <w:pPr>
        <w:pStyle w:val="Heading3"/>
      </w:pPr>
      <w:r>
        <w:t xml:space="preserve">Bull case</w:t>
      </w:r>
    </w:p>
    <w:p>
      <w:pPr>
        <w:pStyle w:val="Compact"/>
        <w:numPr>
          <w:ilvl w:val="0"/>
          <w:numId w:val="1015"/>
        </w:numPr>
      </w:pPr>
      <w:r>
        <w:t xml:space="preserve">Revenue above $2.50 billion;</w:t>
      </w:r>
    </w:p>
    <w:p>
      <w:pPr>
        <w:pStyle w:val="Compact"/>
        <w:numPr>
          <w:ilvl w:val="0"/>
          <w:numId w:val="1015"/>
        </w:numPr>
      </w:pPr>
      <w:r>
        <w:t xml:space="preserve">EPS of $0.61 or better;</w:t>
      </w:r>
    </w:p>
    <w:p>
      <w:pPr>
        <w:pStyle w:val="Compact"/>
        <w:numPr>
          <w:ilvl w:val="0"/>
          <w:numId w:val="1015"/>
        </w:numPr>
      </w:pPr>
      <w:r>
        <w:t xml:space="preserve">Gross margin above 55%;</w:t>
      </w:r>
    </w:p>
    <w:p>
      <w:pPr>
        <w:pStyle w:val="Compact"/>
        <w:numPr>
          <w:ilvl w:val="0"/>
          <w:numId w:val="1015"/>
        </w:numPr>
      </w:pPr>
      <w:r>
        <w:t xml:space="preserve">International growth remains above 25% currency-neutral;</w:t>
      </w:r>
    </w:p>
    <w:p>
      <w:pPr>
        <w:pStyle w:val="Compact"/>
        <w:numPr>
          <w:ilvl w:val="0"/>
          <w:numId w:val="1015"/>
        </w:numPr>
      </w:pPr>
      <w:r>
        <w:t xml:space="preserve">July sales remain near or above 20%;</w:t>
      </w:r>
    </w:p>
    <w:p>
      <w:pPr>
        <w:pStyle w:val="Compact"/>
        <w:numPr>
          <w:ilvl w:val="0"/>
          <w:numId w:val="1015"/>
        </w:numPr>
      </w:pPr>
      <w:r>
        <w:t xml:space="preserve">Positive initial read on FLRT and Storm.</w:t>
      </w:r>
    </w:p>
    <w:p>
      <w:pPr>
        <w:pStyle w:val="FirstParagraph"/>
      </w:pPr>
      <w:r>
        <w:t xml:space="preserve">This would support the view that Q1 was not an anomaly and that Monster can compound earnings at a mid-teens-or-better rate despite cost pressure.</w:t>
      </w:r>
    </w:p>
    <w:bookmarkEnd w:id="26"/>
    <w:bookmarkStart w:id="27" w:name="base-case"/>
    <w:p>
      <w:pPr>
        <w:pStyle w:val="Heading3"/>
      </w:pPr>
      <w:r>
        <w:t xml:space="preserve">Base case</w:t>
      </w:r>
    </w:p>
    <w:p>
      <w:pPr>
        <w:pStyle w:val="Compact"/>
        <w:numPr>
          <w:ilvl w:val="0"/>
          <w:numId w:val="1016"/>
        </w:numPr>
      </w:pPr>
      <w:r>
        <w:t xml:space="preserve">Revenue of</w:t>
      </w:r>
      <w:r>
        <w:t xml:space="preserve"> </w:t>
      </w:r>
      <m:oMath>
        <m:r>
          <m:t>2.43</m:t>
        </m:r>
        <m:r>
          <m:t>b</m:t>
        </m:r>
        <m:r>
          <m:t>i</m:t>
        </m:r>
        <m:r>
          <m:t>l</m:t>
        </m:r>
        <m:r>
          <m:t>l</m:t>
        </m:r>
        <m:r>
          <m:t>i</m:t>
        </m:r>
        <m:r>
          <m:t>o</m:t>
        </m:r>
        <m:r>
          <m:t>n</m:t>
        </m:r>
        <m:r>
          <m:rPr>
            <m:sty m:val="p"/>
          </m:rPr>
          <m:t>–</m:t>
        </m:r>
      </m:oMath>
      <w:r>
        <w:t xml:space="preserve">2.49 billion;</w:t>
      </w:r>
    </w:p>
    <w:p>
      <w:pPr>
        <w:pStyle w:val="Compact"/>
        <w:numPr>
          <w:ilvl w:val="0"/>
          <w:numId w:val="1016"/>
        </w:numPr>
      </w:pPr>
      <w:r>
        <w:t xml:space="preserve">EPS of</w:t>
      </w:r>
      <w:r>
        <w:t xml:space="preserve"> </w:t>
      </w:r>
      <m:oMath>
        <m:r>
          <m:t>0.58</m:t>
        </m:r>
        <m:r>
          <m:rPr>
            <m:sty m:val="p"/>
          </m:rPr>
          <m:t>–</m:t>
        </m:r>
      </m:oMath>
      <w:r>
        <w:t xml:space="preserve">0.60;</w:t>
      </w:r>
    </w:p>
    <w:p>
      <w:pPr>
        <w:pStyle w:val="Compact"/>
        <w:numPr>
          <w:ilvl w:val="0"/>
          <w:numId w:val="1016"/>
        </w:numPr>
      </w:pPr>
      <w:r>
        <w:t xml:space="preserve">Gross margin around 55%;</w:t>
      </w:r>
    </w:p>
    <w:p>
      <w:pPr>
        <w:pStyle w:val="Compact"/>
        <w:numPr>
          <w:ilvl w:val="0"/>
          <w:numId w:val="1016"/>
        </w:numPr>
      </w:pPr>
      <w:r>
        <w:t xml:space="preserve">Continued strong international growth;</w:t>
      </w:r>
    </w:p>
    <w:p>
      <w:pPr>
        <w:pStyle w:val="Compact"/>
        <w:numPr>
          <w:ilvl w:val="0"/>
          <w:numId w:val="1016"/>
        </w:numPr>
      </w:pPr>
      <w:r>
        <w:t xml:space="preserve">July sales in the mid-to-high teens.</w:t>
      </w:r>
    </w:p>
    <w:p>
      <w:pPr>
        <w:pStyle w:val="FirstParagraph"/>
      </w:pPr>
      <w:r>
        <w:t xml:space="preserve">This would be a good operating quarter, but the stock reaction could be muted because the valuation already reflects substantial confidence.</w:t>
      </w:r>
    </w:p>
    <w:bookmarkEnd w:id="27"/>
    <w:bookmarkStart w:id="28" w:name="bear-case"/>
    <w:p>
      <w:pPr>
        <w:pStyle w:val="Heading3"/>
      </w:pPr>
      <w:r>
        <w:t xml:space="preserve">Bear case</w:t>
      </w:r>
    </w:p>
    <w:p>
      <w:pPr>
        <w:pStyle w:val="Compact"/>
        <w:numPr>
          <w:ilvl w:val="0"/>
          <w:numId w:val="1017"/>
        </w:numPr>
      </w:pPr>
      <w:r>
        <w:t xml:space="preserve">Revenue below $2.40 billion;</w:t>
      </w:r>
    </w:p>
    <w:p>
      <w:pPr>
        <w:pStyle w:val="Compact"/>
        <w:numPr>
          <w:ilvl w:val="0"/>
          <w:numId w:val="1017"/>
        </w:numPr>
      </w:pPr>
      <w:r>
        <w:t xml:space="preserve">EPS below $0.56;</w:t>
      </w:r>
    </w:p>
    <w:p>
      <w:pPr>
        <w:pStyle w:val="Compact"/>
        <w:numPr>
          <w:ilvl w:val="0"/>
          <w:numId w:val="1017"/>
        </w:numPr>
      </w:pPr>
      <w:r>
        <w:t xml:space="preserve">Gross margin below 54.5%;</w:t>
      </w:r>
    </w:p>
    <w:p>
      <w:pPr>
        <w:pStyle w:val="Compact"/>
        <w:numPr>
          <w:ilvl w:val="0"/>
          <w:numId w:val="1017"/>
        </w:numPr>
      </w:pPr>
      <w:r>
        <w:t xml:space="preserve">Sharp sequential slowdown in July;</w:t>
      </w:r>
    </w:p>
    <w:p>
      <w:pPr>
        <w:pStyle w:val="Compact"/>
        <w:numPr>
          <w:ilvl w:val="0"/>
          <w:numId w:val="1017"/>
        </w:numPr>
      </w:pPr>
      <w:r>
        <w:t xml:space="preserve">Weak U.S. share trends or disappointing innovation;</w:t>
      </w:r>
    </w:p>
    <w:p>
      <w:pPr>
        <w:pStyle w:val="Compact"/>
        <w:numPr>
          <w:ilvl w:val="0"/>
          <w:numId w:val="1017"/>
        </w:numPr>
      </w:pPr>
      <w:r>
        <w:t xml:space="preserve">Evidence that aluminum and freight pressures will persist into 2027.</w:t>
      </w:r>
    </w:p>
    <w:p>
      <w:pPr>
        <w:pStyle w:val="FirstParagraph"/>
      </w:pPr>
      <w:r>
        <w:t xml:space="preserve">At roughly 41 times the published FY2026 EPS consensus, the stock has limited room for an earnings-quality disappointment.</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Monster appears positioned to deliver another quarter of strong double-digit growth. Demand, category health, international expansion and the core Monster franchise all look favorable.</w:t>
      </w:r>
    </w:p>
    <w:p>
      <w:pPr>
        <w:pStyle w:val="BodyText"/>
      </w:pPr>
      <w:r>
        <w:t xml:space="preserve">The risk is the</w:t>
      </w:r>
      <w:r>
        <w:t xml:space="preserve"> </w:t>
      </w:r>
      <w:r>
        <w:rPr>
          <w:b/>
          <w:bCs/>
        </w:rPr>
        <w:t xml:space="preserve">expectations-versus-margins equation</w:t>
      </w:r>
      <w:r>
        <w:t xml:space="preserve">. Q1’s strength, the stock’s approximately 24% year-to-date gain and a forward earnings multiple near 40 times mean investors will probably demand more than a routine beat. The most important signals will be:</w:t>
      </w:r>
    </w:p>
    <w:p>
      <w:pPr>
        <w:pStyle w:val="Compact"/>
        <w:numPr>
          <w:ilvl w:val="0"/>
          <w:numId w:val="1018"/>
        </w:numPr>
      </w:pPr>
      <w:r>
        <w:rPr>
          <w:b/>
          <w:bCs/>
        </w:rPr>
        <w:t xml:space="preserve">Organic/currency-neutral sales growth;</w:t>
      </w:r>
    </w:p>
    <w:p>
      <w:pPr>
        <w:pStyle w:val="Compact"/>
        <w:numPr>
          <w:ilvl w:val="0"/>
          <w:numId w:val="1018"/>
        </w:numPr>
      </w:pPr>
      <w:r>
        <w:rPr>
          <w:b/>
          <w:bCs/>
        </w:rPr>
        <w:t xml:space="preserve">Gross-margin stabilization;</w:t>
      </w:r>
    </w:p>
    <w:p>
      <w:pPr>
        <w:pStyle w:val="Compact"/>
        <w:numPr>
          <w:ilvl w:val="0"/>
          <w:numId w:val="1018"/>
        </w:numPr>
      </w:pPr>
      <w:r>
        <w:rPr>
          <w:b/>
          <w:bCs/>
        </w:rPr>
        <w:t xml:space="preserve">July sales momentum;</w:t>
      </w:r>
    </w:p>
    <w:p>
      <w:pPr>
        <w:pStyle w:val="Compact"/>
        <w:numPr>
          <w:ilvl w:val="0"/>
          <w:numId w:val="1018"/>
        </w:numPr>
      </w:pPr>
      <w:r>
        <w:rPr>
          <w:b/>
          <w:bCs/>
        </w:rPr>
        <w:t xml:space="preserve">International profitability; and</w:t>
      </w:r>
    </w:p>
    <w:p>
      <w:pPr>
        <w:pStyle w:val="Compact"/>
        <w:numPr>
          <w:ilvl w:val="0"/>
          <w:numId w:val="1018"/>
        </w:numPr>
      </w:pPr>
      <w:r>
        <w:rPr>
          <w:b/>
          <w:bCs/>
        </w:rPr>
        <w:t xml:space="preserve">Evidence that innovation broadens rather than cannibalizes the portfolio.</w:t>
      </w:r>
    </w:p>
    <w:p>
      <w:pPr>
        <w:pStyle w:val="FirstParagraph"/>
      </w:pPr>
      <w:r>
        <w:t xml:space="preserve">A revenue beat with weak margin or soft July commentary may not satisfy the market. A combination of above-consensus revenue, approximately 55% or better gross margin and sustained high-teens-or-better July growth would be the clearest positive outcome.</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s.monsterbevcorp.com/news-releases/news-release-details/monster-beverage-reports-2025-second-quarter-financial-results?utm_source=openai" TargetMode="External" /><Relationship Type="http://schemas.openxmlformats.org/officeDocument/2006/relationships/hyperlink" Id="rId13" Target="https://investors.monsterbevcorp.com/node/17996?utm_source=openai" TargetMode="External" /><Relationship Type="http://schemas.openxmlformats.org/officeDocument/2006/relationships/hyperlink" Id="rId10" Target="https://www.barchart.com/stocks/quotes/MNST/earnings-estimates?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s.monsterbevcorp.com/news-releases/news-release-details/monster-beverage-reports-2025-second-quarter-financial-results?utm_source=openai" TargetMode="External" /><Relationship Type="http://schemas.openxmlformats.org/officeDocument/2006/relationships/hyperlink" Id="rId13" Target="https://investors.monsterbevcorp.com/node/17996?utm_source=openai" TargetMode="External" /><Relationship Type="http://schemas.openxmlformats.org/officeDocument/2006/relationships/hyperlink" Id="rId10" Target="https://www.barchart.com/stocks/quotes/MNST/earnings-estimate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2026-08-06T01:09:01Z</dcterms:created>
  <dcterms:modified xsi:type="dcterms:W3CDTF">2026-08-06T01:09:01Z</dcterms:modified>
</cp:coreProperties>
</file>

<file path=docProps/custom.xml><?xml version="1.0" encoding="utf-8"?>
<Properties xmlns="http://schemas.openxmlformats.org/officeDocument/2006/custom-properties" xmlns:vt="http://schemas.openxmlformats.org/officeDocument/2006/docPropsVTypes"/>
</file>