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1e6048ea72a82b085c77a8834ba3192bf1dee1"/>
    <w:p>
      <w:pPr>
        <w:pStyle w:val="Heading1"/>
      </w:pPr>
      <w:r>
        <w:t xml:space="preserve">Monster Beverage (NASDAQ: MNST) — 2Q26 Earnings Preview</w:t>
      </w:r>
    </w:p>
    <w:p>
      <w:pPr>
        <w:pStyle w:val="BlockText"/>
      </w:pPr>
      <w:r>
        <w:rPr>
          <w:b/>
          <w:bCs/>
        </w:rPr>
        <w:t xml:space="preserve">Timing note:</w:t>
      </w:r>
      <w:r>
        <w:t xml:space="preserve"> </w:t>
      </w:r>
      <w:r>
        <w:t xml:space="preserve">The stated event date is</w:t>
      </w:r>
      <w:r>
        <w:t xml:space="preserve"> </w:t>
      </w:r>
      <w:r>
        <w:rPr>
          <w:b/>
          <w:bCs/>
        </w:rPr>
        <w:t xml:space="preserve">Thursday, August 6, 2026</w:t>
      </w:r>
      <w:r>
        <w:t xml:space="preserve">—which is</w:t>
      </w:r>
      <w:r>
        <w:t xml:space="preserve"> </w:t>
      </w:r>
      <w:r>
        <w:rPr>
          <w:b/>
          <w:bCs/>
        </w:rPr>
        <w:t xml:space="preserve">today</w:t>
      </w:r>
      <w:r>
        <w:t xml:space="preserve">, not tomorrow. Monster is expected to report its 2026 second-quarter results and host its earnings call after the market close.</w:t>
      </w:r>
    </w:p>
    <w:bookmarkStart w:id="9" w:name="Xc16a5a7ea9f8da5b211de4f948b3135047e0036"/>
    <w:p>
      <w:pPr>
        <w:pStyle w:val="Heading2"/>
      </w:pPr>
      <w:r>
        <w:t xml:space="preserve">Investment view: the setup is constructive, but expectations are no longer low</w:t>
      </w:r>
    </w:p>
    <w:p>
      <w:pPr>
        <w:pStyle w:val="FirstParagraph"/>
      </w:pPr>
      <w:r>
        <w:t xml:space="preserve">Monster enters 2Q26 following an exceptional 1Q: organic-style growth accelerated sharply, international sales became a larger part of the mix, U.S. category data remained healthy, and management’s April sales update implied that momentum carried into the second quarter. The key debate is no longer whether Monster can grow—it is whether it can sustain</w:t>
      </w:r>
      <w:r>
        <w:t xml:space="preserve"> </w:t>
      </w:r>
      <w:r>
        <w:rPr>
          <w:b/>
          <w:bCs/>
        </w:rPr>
        <w:t xml:space="preserve">high-teens-to-20% FX-neutral growth</w:t>
      </w:r>
      <w:r>
        <w:t xml:space="preserve"> </w:t>
      </w:r>
      <w:r>
        <w:t xml:space="preserve">while protecting margins amid a structurally more international sales mix and rising aluminum/freight pressure.</w:t>
      </w:r>
    </w:p>
    <w:p>
      <w:pPr>
        <w:pStyle w:val="BodyText"/>
      </w:pPr>
      <w:r>
        <w:t xml:space="preserve">The stock closed at</w:t>
      </w:r>
      <w:r>
        <w:t xml:space="preserve"> </w:t>
      </w:r>
      <w:r>
        <w:rPr>
          <w:b/>
          <w:bCs/>
        </w:rPr>
        <w:t xml:space="preserve">$94.48 on August 5</w:t>
      </w:r>
      <w:r>
        <w:t xml:space="preserve">, about 5% below its July 16 closing high of $99.94. That pullback suggests some room for a positive reaction if Monster confirms strong summer demand, but a mere beat on EPS may not be sufficient if investors see a deceleration in sales, weaker scanner momentum, or more pressure on gross margin.</w:t>
      </w:r>
    </w:p>
    <w:bookmarkEnd w:id="9"/>
    <w:bookmarkStart w:id="11" w:name="what-matters-most-this-quarter"/>
    <w:p>
      <w:pPr>
        <w:pStyle w:val="Heading2"/>
      </w:pPr>
      <w:r>
        <w:t xml:space="preserve">What matters most this quarter</w:t>
      </w:r>
    </w:p>
    <w:bookmarkStart w:id="10" w:name="X978c9d79ed9aa89de16c048e3407714a2e64afb"/>
    <w:p>
      <w:pPr>
        <w:pStyle w:val="Heading3"/>
      </w:pPr>
      <w:r>
        <w:t xml:space="preserve">1. Can sales momentum remain close to 1Q’s pace?</w:t>
      </w:r>
    </w:p>
    <w:p>
      <w:pPr>
        <w:pStyle w:val="FirstParagraph"/>
      </w:pPr>
      <w:r>
        <w:t xml:space="preserve">Monster reported 1Q26 net sales of</w:t>
      </w:r>
      <w:r>
        <w:t xml:space="preserve"> </w:t>
      </w:r>
      <w:r>
        <w:rPr>
          <w:b/>
          <w:bCs/>
        </w:rPr>
        <w:t xml:space="preserve">$2.35 billion</w:t>
      </w:r>
      <w:r>
        <w:t xml:space="preserve">, up</w:t>
      </w:r>
      <w:r>
        <w:t xml:space="preserve"> </w:t>
      </w:r>
      <w:r>
        <w:rPr>
          <w:b/>
          <w:bCs/>
        </w:rPr>
        <w:t xml:space="preserve">26.9% reported</w:t>
      </w:r>
      <w:r>
        <w:t xml:space="preserve"> </w:t>
      </w:r>
      <w:r>
        <w:t xml:space="preserve">and</w:t>
      </w:r>
      <w:r>
        <w:t xml:space="preserve"> </w:t>
      </w:r>
      <w:r>
        <w:rPr>
          <w:b/>
          <w:bCs/>
        </w:rPr>
        <w:t xml:space="preserve">22.1% FX-neutral</w:t>
      </w:r>
      <w:r>
        <w:t xml:space="preserve">. Excluding Alcohol Brands, FX-neutral sales rose</w:t>
      </w:r>
      <w:r>
        <w:t xml:space="preserve"> </w:t>
      </w:r>
      <w:r>
        <w:rPr>
          <w:b/>
          <w:bCs/>
        </w:rPr>
        <w:t xml:space="preserve">22.6%</w:t>
      </w:r>
      <w:r>
        <w:t xml:space="preserve">. The company then indicated that April sales were up</w:t>
      </w:r>
      <w:r>
        <w:t xml:space="preserve"> </w:t>
      </w:r>
      <w:r>
        <w:rPr>
          <w:b/>
          <w:bCs/>
        </w:rPr>
        <w:t xml:space="preserve">24.4% reported</w:t>
      </w:r>
      <w:r>
        <w:t xml:space="preserve"> </w:t>
      </w:r>
      <w:r>
        <w:t xml:space="preserve">and</w:t>
      </w:r>
      <w:r>
        <w:t xml:space="preserve"> </w:t>
      </w:r>
      <w:r>
        <w:rPr>
          <w:b/>
          <w:bCs/>
        </w:rPr>
        <w:t xml:space="preserve">21.6% FX-neutral</w:t>
      </w:r>
      <w:r>
        <w:t xml:space="preserve"> </w:t>
      </w:r>
      <w:r>
        <w:t xml:space="preserve">year over year.</w:t>
      </w:r>
    </w:p>
    <w:p>
      <w:pPr>
        <w:pStyle w:val="BodyText"/>
      </w:pPr>
      <w:r>
        <w:t xml:space="preserve">That April update is the central anchor for the quarter. It implies that the company began 2Q with momentum broadly consistent with 1Q despite a much tougher year-ago comparison.</w:t>
      </w:r>
    </w:p>
    <w:p>
      <w:pPr>
        <w:pStyle w:val="BodyText"/>
      </w:pPr>
      <w:r>
        <w:rPr>
          <w:b/>
          <w:bCs/>
        </w:rPr>
        <w:t xml:space="preserve">Key benchmark:</w:t>
      </w:r>
      <w:r>
        <w:t xml:space="preserve"> </w:t>
      </w:r>
      <w:r>
        <w:t xml:space="preserve">In 2Q25, Monster generated record sales of</w:t>
      </w:r>
      <w:r>
        <w:t xml:space="preserve"> </w:t>
      </w:r>
      <m:oMath>
        <m:r>
          <m:t>2.11</m:t>
        </m:r>
        <m:r>
          <m:t>b</m:t>
        </m:r>
        <m:r>
          <m:t>i</m:t>
        </m:r>
        <m:r>
          <m:t>l</m:t>
        </m:r>
        <m:r>
          <m:t>l</m:t>
        </m:r>
        <m:r>
          <m:t>i</m:t>
        </m:r>
        <m:r>
          <m:t>o</m:t>
        </m:r>
        <m:r>
          <m:t>n</m:t>
        </m:r>
        <m:r>
          <m:rPr>
            <m:sty m:val="p"/>
          </m:rPr>
          <m:t>*</m:t>
        </m:r>
        <m:r>
          <m:rPr>
            <m:sty m:val="p"/>
          </m:rPr>
          <m:t>*</m:t>
        </m:r>
        <m:r>
          <m:rPr>
            <m:sty m:val="p"/>
          </m:rPr>
          <m:t>,</m:t>
        </m:r>
        <m:r>
          <m:t>u</m:t>
        </m:r>
        <m:r>
          <m:t>p</m:t>
        </m:r>
        <m:r>
          <m:t>11.1</m:t>
        </m:r>
      </m:oMath>
      <w:r>
        <w:rPr>
          <w:b/>
          <w:bCs/>
        </w:rPr>
        <w:t xml:space="preserve">0.50 diluted EPS</w:t>
      </w:r>
      <w:r>
        <w:t xml:space="preserve">. Investors will be looking for a clear step-up versus that base, particularly given the April commentary and the seasonally favorable summer selling period.</w:t>
      </w:r>
    </w:p>
    <w:p>
      <w:pPr>
        <w:pStyle w:val="BodyText"/>
      </w:pPr>
      <w:r>
        <w:rPr>
          <w:b/>
          <w:bCs/>
        </w:rPr>
        <w:t xml:space="preserve">What to watch</w:t>
      </w:r>
    </w:p>
    <w:p>
      <w:pPr>
        <w:pStyle w:val="Compact"/>
        <w:numPr>
          <w:ilvl w:val="0"/>
          <w:numId w:val="1001"/>
        </w:numPr>
      </w:pPr>
      <w:r>
        <w:t xml:space="preserve">Total sales growth and FX-neutral sales growth</w:t>
      </w:r>
    </w:p>
    <w:p>
      <w:pPr>
        <w:pStyle w:val="Compact"/>
        <w:numPr>
          <w:ilvl w:val="0"/>
          <w:numId w:val="1001"/>
        </w:numPr>
      </w:pPr>
      <w:r>
        <w:t xml:space="preserve">Energy-drink case volume versus price/mix</w:t>
      </w:r>
    </w:p>
    <w:p>
      <w:pPr>
        <w:pStyle w:val="Compact"/>
        <w:numPr>
          <w:ilvl w:val="0"/>
          <w:numId w:val="1001"/>
        </w:numPr>
      </w:pPr>
      <w:r>
        <w:t xml:space="preserve">Sales by geography, especially whether international growth remains materially above U.S. growth</w:t>
      </w:r>
    </w:p>
    <w:p>
      <w:pPr>
        <w:pStyle w:val="Compact"/>
        <w:numPr>
          <w:ilvl w:val="0"/>
          <w:numId w:val="1001"/>
        </w:numPr>
      </w:pPr>
      <w:r>
        <w:t xml:space="preserve">Any commentary on May and June trends, distributor inventories, promotional activity, and selling-day effects</w:t>
      </w:r>
    </w:p>
    <w:bookmarkEnd w:id="10"/>
    <w:bookmarkEnd w:id="11"/>
    <w:bookmarkStart w:id="12" w:name="X006b6c23c33672acae949bda4d7ae0e98e3a63a"/>
    <w:p>
      <w:pPr>
        <w:pStyle w:val="Heading2"/>
      </w:pPr>
      <w:r>
        <w:t xml:space="preserve">2. International growth is the largest upside driver—and the largest margin tradeoff</w:t>
      </w:r>
    </w:p>
    <w:p>
      <w:pPr>
        <w:pStyle w:val="FirstParagraph"/>
      </w:pPr>
      <w:r>
        <w:t xml:space="preserve">International has become increasingly important to the story. In 1Q26, sales outside the United States rose</w:t>
      </w:r>
      <w:r>
        <w:t xml:space="preserve"> </w:t>
      </w:r>
      <w:r>
        <w:rPr>
          <w:b/>
          <w:bCs/>
        </w:rPr>
        <w:t xml:space="preserve">44.9% reported</w:t>
      </w:r>
      <w:r>
        <w:t xml:space="preserve"> </w:t>
      </w:r>
      <w:r>
        <w:t xml:space="preserve">and</w:t>
      </w:r>
      <w:r>
        <w:t xml:space="preserve"> </w:t>
      </w:r>
      <w:r>
        <w:rPr>
          <w:b/>
          <w:bCs/>
        </w:rPr>
        <w:t xml:space="preserve">32.7% FX-neutral</w:t>
      </w:r>
      <w:r>
        <w:t xml:space="preserve"> </w:t>
      </w:r>
      <w:r>
        <w:t xml:space="preserve">to</w:t>
      </w:r>
      <w:r>
        <w:t xml:space="preserve"> </w:t>
      </w:r>
      <w:r>
        <w:rPr>
          <w:b/>
          <w:bCs/>
        </w:rPr>
        <w:t xml:space="preserve">$1.06 billion</w:t>
      </w:r>
      <w:r>
        <w:t xml:space="preserve">, reaching approximately</w:t>
      </w:r>
      <w:r>
        <w:t xml:space="preserve"> </w:t>
      </w:r>
      <w:r>
        <w:rPr>
          <w:b/>
          <w:bCs/>
        </w:rPr>
        <w:t xml:space="preserve">45% of company sales</w:t>
      </w:r>
      <w:r>
        <w:t xml:space="preserve">, versus 40% a year earlier.</w:t>
      </w:r>
    </w:p>
    <w:p>
      <w:pPr>
        <w:pStyle w:val="BodyText"/>
      </w:pPr>
      <w:r>
        <w:t xml:space="preserve">The regional figures were striking: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region</w:t>
            </w:r>
          </w:p>
        </w:tc>
        <w:tc>
          <w:tcPr/>
          <w:p>
            <w:pPr>
              <w:pStyle w:val="Compact"/>
              <w:jc w:val="right"/>
            </w:pPr>
            <w:r>
              <w:t xml:space="preserve">Reported sales growth</w:t>
            </w:r>
          </w:p>
        </w:tc>
        <w:tc>
          <w:tcPr/>
          <w:p>
            <w:pPr>
              <w:pStyle w:val="Compact"/>
              <w:jc w:val="right"/>
            </w:pPr>
            <w:r>
              <w:t xml:space="preserve">FX-neutral sales growth</w:t>
            </w:r>
          </w:p>
        </w:tc>
      </w:tr>
      <w:tr>
        <w:tc>
          <w:tcPr/>
          <w:p>
            <w:pPr>
              <w:pStyle w:val="Compact"/>
            </w:pPr>
            <w:r>
              <w:t xml:space="preserve">U.S. &amp; Canada</w:t>
            </w:r>
          </w:p>
        </w:tc>
        <w:tc>
          <w:tcPr/>
          <w:p>
            <w:pPr>
              <w:pStyle w:val="Compact"/>
              <w:jc w:val="right"/>
            </w:pPr>
            <w:r>
              <w:t xml:space="preserve">15.6%</w:t>
            </w:r>
          </w:p>
        </w:tc>
        <w:tc>
          <w:tcPr/>
          <w:p>
            <w:pPr>
              <w:pStyle w:val="Compact"/>
              <w:jc w:val="right"/>
            </w:pPr>
            <w:r>
              <w:t xml:space="preserve">Not separately disclosed</w:t>
            </w:r>
          </w:p>
        </w:tc>
      </w:tr>
      <w:tr>
        <w:tc>
          <w:tcPr/>
          <w:p>
            <w:pPr>
              <w:pStyle w:val="Compact"/>
            </w:pPr>
            <w:r>
              <w:t xml:space="preserve">EMEA</w:t>
            </w:r>
          </w:p>
        </w:tc>
        <w:tc>
          <w:tcPr/>
          <w:p>
            <w:pPr>
              <w:pStyle w:val="Compact"/>
              <w:jc w:val="right"/>
            </w:pPr>
            <w:r>
              <w:t xml:space="preserve">52.5%</w:t>
            </w:r>
          </w:p>
        </w:tc>
        <w:tc>
          <w:tcPr/>
          <w:p>
            <w:pPr>
              <w:pStyle w:val="Compact"/>
              <w:jc w:val="right"/>
            </w:pPr>
            <w:r>
              <w:t xml:space="preserve">36.5%</w:t>
            </w:r>
          </w:p>
        </w:tc>
      </w:tr>
      <w:tr>
        <w:tc>
          <w:tcPr/>
          <w:p>
            <w:pPr>
              <w:pStyle w:val="Compact"/>
            </w:pPr>
            <w:r>
              <w:t xml:space="preserve">Asia Pacific</w:t>
            </w:r>
          </w:p>
        </w:tc>
        <w:tc>
          <w:tcPr/>
          <w:p>
            <w:pPr>
              <w:pStyle w:val="Compact"/>
              <w:jc w:val="right"/>
            </w:pPr>
            <w:r>
              <w:t xml:space="preserve">39.7%</w:t>
            </w:r>
          </w:p>
        </w:tc>
        <w:tc>
          <w:tcPr/>
          <w:p>
            <w:pPr>
              <w:pStyle w:val="Compact"/>
              <w:jc w:val="right"/>
            </w:pPr>
            <w:r>
              <w:t xml:space="preserve">36.7%</w:t>
            </w:r>
          </w:p>
        </w:tc>
      </w:tr>
      <w:tr>
        <w:tc>
          <w:tcPr/>
          <w:p>
            <w:pPr>
              <w:pStyle w:val="Compact"/>
            </w:pPr>
            <w:r>
              <w:t xml:space="preserve">Latin America &amp; Caribbean</w:t>
            </w:r>
          </w:p>
        </w:tc>
        <w:tc>
          <w:tcPr/>
          <w:p>
            <w:pPr>
              <w:pStyle w:val="Compact"/>
              <w:jc w:val="right"/>
            </w:pPr>
            <w:r>
              <w:t xml:space="preserve">36.0%</w:t>
            </w:r>
          </w:p>
        </w:tc>
        <w:tc>
          <w:tcPr/>
          <w:p>
            <w:pPr>
              <w:pStyle w:val="Compact"/>
              <w:jc w:val="right"/>
            </w:pPr>
            <w:r>
              <w:t xml:space="preserve">22.3%</w:t>
            </w:r>
          </w:p>
        </w:tc>
      </w:tr>
    </w:tbl>
    <w:p>
      <w:pPr>
        <w:pStyle w:val="BodyText"/>
      </w:pPr>
      <w:r>
        <w:t xml:space="preserve">The international opportunity is especially compelling because Monster continues to gain distribution through the Coca-Cola bottling system, expand affordable brands such as Predator and Fury, and introduce new products across markets. Management cited strong results in China, India, Brazil, Oceania, and Western Europe during 1Q.</w:t>
      </w:r>
    </w:p>
    <w:p>
      <w:pPr>
        <w:pStyle w:val="BodyText"/>
      </w:pPr>
      <w:r>
        <w:t xml:space="preserve">However, international sales generally carry lower gross-margin percentages than domestic sales. Therefore,</w:t>
      </w:r>
      <w:r>
        <w:t xml:space="preserve"> </w:t>
      </w:r>
      <w:r>
        <w:rPr>
          <w:b/>
          <w:bCs/>
        </w:rPr>
        <w:t xml:space="preserve">excellent international growth can simultaneously raise operating-profit dollars while depressing company gross-margin rate</w:t>
      </w:r>
      <w:r>
        <w:t xml:space="preserve">.</w:t>
      </w:r>
    </w:p>
    <w:p>
      <w:pPr>
        <w:pStyle w:val="BodyText"/>
      </w:pPr>
      <w:r>
        <w:rPr>
          <w:b/>
          <w:bCs/>
        </w:rPr>
        <w:t xml:space="preserve">Investor focus:</w:t>
      </w:r>
      <w:r>
        <w:t xml:space="preserve"> </w:t>
      </w:r>
      <w:r>
        <w:t xml:space="preserve">Strong EMEA/APAC/LATAM results are likely positive even if gross margin declines modestly. The more concerning result would be a combination of slowing international growth and further margin erosion.</w:t>
      </w:r>
    </w:p>
    <w:bookmarkEnd w:id="12"/>
    <w:bookmarkStart w:id="13" w:name="X0619cb59da0fb1e10cc1bf7da7859a85f5e9a9a"/>
    <w:p>
      <w:pPr>
        <w:pStyle w:val="Heading2"/>
      </w:pPr>
      <w:r>
        <w:t xml:space="preserve">3. Gross margin is likely the key earnings-quality variable</w:t>
      </w:r>
    </w:p>
    <w:p>
      <w:pPr>
        <w:pStyle w:val="FirstParagraph"/>
      </w:pPr>
      <w:r>
        <w:t xml:space="preserve">1Q gross margin fell to</w:t>
      </w:r>
      <w:r>
        <w:t xml:space="preserve"> </w:t>
      </w:r>
      <w:r>
        <w:rPr>
          <w:b/>
          <w:bCs/>
        </w:rPr>
        <w:t xml:space="preserve">55.0%</w:t>
      </w:r>
      <w:r>
        <w:t xml:space="preserve">, from</w:t>
      </w:r>
      <w:r>
        <w:t xml:space="preserve"> </w:t>
      </w:r>
      <w:r>
        <w:rPr>
          <w:b/>
          <w:bCs/>
        </w:rPr>
        <w:t xml:space="preserve">56.5%</w:t>
      </w:r>
      <w:r>
        <w:t xml:space="preserve"> </w:t>
      </w:r>
      <w:r>
        <w:t xml:space="preserve">a year earlier. Management attributed the decline to:</w:t>
      </w:r>
    </w:p>
    <w:p>
      <w:pPr>
        <w:pStyle w:val="Compact"/>
        <w:numPr>
          <w:ilvl w:val="0"/>
          <w:numId w:val="1002"/>
        </w:numPr>
      </w:pPr>
      <w:r>
        <w:t xml:space="preserve">Geographic mix, particularly rapid international growth;</w:t>
      </w:r>
    </w:p>
    <w:p>
      <w:pPr>
        <w:pStyle w:val="Compact"/>
        <w:numPr>
          <w:ilvl w:val="0"/>
          <w:numId w:val="1002"/>
        </w:numPr>
      </w:pPr>
      <w:r>
        <w:t xml:space="preserve">Higher aluminum-can costs;</w:t>
      </w:r>
    </w:p>
    <w:p>
      <w:pPr>
        <w:pStyle w:val="Compact"/>
        <w:numPr>
          <w:ilvl w:val="0"/>
          <w:numId w:val="1002"/>
        </w:numPr>
      </w:pPr>
      <w:r>
        <w:t xml:space="preserve">Higher freight-in costs caused by out-of-orbit production to meet demand.</w:t>
      </w:r>
    </w:p>
    <w:p>
      <w:pPr>
        <w:pStyle w:val="FirstParagraph"/>
      </w:pPr>
      <w:r>
        <w:t xml:space="preserve">Pricing actions partially offset those factors. Management said the late-2025 U.S. price increase was working as expected, and it continued to assess additional pricing opportunities in the U.S. and abroad.</w:t>
      </w:r>
    </w:p>
    <w:p>
      <w:pPr>
        <w:pStyle w:val="BodyText"/>
      </w:pPr>
      <w:r>
        <w:t xml:space="preserve">There are reasons for 2Q margins to stabilize sequentially:</w:t>
      </w:r>
    </w:p>
    <w:p>
      <w:pPr>
        <w:pStyle w:val="Compact"/>
        <w:numPr>
          <w:ilvl w:val="0"/>
          <w:numId w:val="1003"/>
        </w:numPr>
      </w:pPr>
      <w:r>
        <w:t xml:space="preserve">Management said it was back within normal production “orbits” after the 1Q demand-driven freight inefficiency.</w:t>
      </w:r>
    </w:p>
    <w:p>
      <w:pPr>
        <w:pStyle w:val="Compact"/>
        <w:numPr>
          <w:ilvl w:val="0"/>
          <w:numId w:val="1003"/>
        </w:numPr>
      </w:pPr>
      <w:r>
        <w:t xml:space="preserve">The 2025 pricing actions should remain embedded in realized price.</w:t>
      </w:r>
    </w:p>
    <w:p>
      <w:pPr>
        <w:pStyle w:val="Compact"/>
        <w:numPr>
          <w:ilvl w:val="0"/>
          <w:numId w:val="1003"/>
        </w:numPr>
      </w:pPr>
      <w:r>
        <w:t xml:space="preserve">Operating expenses were leveraged well in 1Q, falling to 23.9% of sales from 25.8%.</w:t>
      </w:r>
    </w:p>
    <w:p>
      <w:pPr>
        <w:pStyle w:val="FirstParagraph"/>
      </w:pPr>
      <w:r>
        <w:t xml:space="preserve">But aluminum remains the wild card. Management characterized the 1Q impact as modest but said the Midwest aluminum premium and tariffs were expected to cause a</w:t>
      </w:r>
      <w:r>
        <w:t xml:space="preserve"> </w:t>
      </w:r>
      <w:r>
        <w:rPr>
          <w:b/>
          <w:bCs/>
        </w:rPr>
        <w:t xml:space="preserve">modest sequential cost increase through at least year-end 2026</w:t>
      </w:r>
      <w:r>
        <w:t xml:space="preserve">.</w:t>
      </w:r>
    </w:p>
    <w:p>
      <w:pPr>
        <w:pStyle w:val="BodyText"/>
      </w:pPr>
      <w:r>
        <w:rPr>
          <w:b/>
          <w:bCs/>
        </w:rPr>
        <w:t xml:space="preserve">What would be constructive</w:t>
      </w:r>
    </w:p>
    <w:p>
      <w:pPr>
        <w:pStyle w:val="Compact"/>
        <w:numPr>
          <w:ilvl w:val="0"/>
          <w:numId w:val="1004"/>
        </w:numPr>
      </w:pPr>
      <w:r>
        <w:t xml:space="preserve">Gross margin roughly stable sequentially, or better than feared despite mix.</w:t>
      </w:r>
    </w:p>
    <w:p>
      <w:pPr>
        <w:pStyle w:val="Compact"/>
        <w:numPr>
          <w:ilvl w:val="0"/>
          <w:numId w:val="1004"/>
        </w:numPr>
      </w:pPr>
      <w:r>
        <w:t xml:space="preserve">Confirmation that the out-of-orbit freight issue is behind the company.</w:t>
      </w:r>
    </w:p>
    <w:p>
      <w:pPr>
        <w:pStyle w:val="Compact"/>
        <w:numPr>
          <w:ilvl w:val="0"/>
          <w:numId w:val="1004"/>
        </w:numPr>
      </w:pPr>
      <w:r>
        <w:t xml:space="preserve">Evidence that pricing and productivity are absorbing aluminum/freight cost inflation.</w:t>
      </w:r>
    </w:p>
    <w:p>
      <w:pPr>
        <w:pStyle w:val="FirstParagraph"/>
      </w:pPr>
      <w:r>
        <w:rPr>
          <w:b/>
          <w:bCs/>
        </w:rPr>
        <w:t xml:space="preserve">What would concern investors</w:t>
      </w:r>
    </w:p>
    <w:p>
      <w:pPr>
        <w:pStyle w:val="Compact"/>
        <w:numPr>
          <w:ilvl w:val="0"/>
          <w:numId w:val="1005"/>
        </w:numPr>
      </w:pPr>
      <w:r>
        <w:t xml:space="preserve">A sharper-than-expected gross-margin decline.</w:t>
      </w:r>
    </w:p>
    <w:p>
      <w:pPr>
        <w:pStyle w:val="Compact"/>
        <w:numPr>
          <w:ilvl w:val="0"/>
          <w:numId w:val="1005"/>
        </w:numPr>
      </w:pPr>
      <w:r>
        <w:t xml:space="preserve">New warnings around aluminum, tariffs, or manufacturing capacity.</w:t>
      </w:r>
    </w:p>
    <w:p>
      <w:pPr>
        <w:pStyle w:val="Compact"/>
        <w:numPr>
          <w:ilvl w:val="0"/>
          <w:numId w:val="1005"/>
        </w:numPr>
      </w:pPr>
      <w:r>
        <w:t xml:space="preserve">Increased promotional allowances that suggest growth is becoming more expensive to sustain.</w:t>
      </w:r>
    </w:p>
    <w:bookmarkEnd w:id="13"/>
    <w:bookmarkStart w:id="14" w:name="Xb5d4ad87f3caafca3668fe81dfd14ae88973e3d"/>
    <w:p>
      <w:pPr>
        <w:pStyle w:val="Heading2"/>
      </w:pPr>
      <w:r>
        <w:t xml:space="preserve">4. Innovation needs to broaden the consumer base without cannibalizing the core</w:t>
      </w:r>
    </w:p>
    <w:p>
      <w:pPr>
        <w:pStyle w:val="FirstParagraph"/>
      </w:pPr>
      <w:r>
        <w:t xml:space="preserve">Monster has one of its fullest innovation calendars in years. Recent U.S. initiatives include:</w:t>
      </w:r>
    </w:p>
    <w:p>
      <w:pPr>
        <w:pStyle w:val="Compact"/>
        <w:numPr>
          <w:ilvl w:val="0"/>
          <w:numId w:val="1006"/>
        </w:numPr>
      </w:pPr>
      <w:r>
        <w:rPr>
          <w:b/>
          <w:bCs/>
        </w:rPr>
        <w:t xml:space="preserve">FLRT</w:t>
      </w:r>
      <w:r>
        <w:t xml:space="preserve">, positioned toward female consumers and new wellness-oriented occasions;</w:t>
      </w:r>
    </w:p>
    <w:p>
      <w:pPr>
        <w:pStyle w:val="Compact"/>
        <w:numPr>
          <w:ilvl w:val="0"/>
          <w:numId w:val="1006"/>
        </w:numPr>
      </w:pPr>
      <w:r>
        <w:rPr>
          <w:b/>
          <w:bCs/>
        </w:rPr>
        <w:t xml:space="preserve">Storm</w:t>
      </w:r>
      <w:r>
        <w:t xml:space="preserve">, its refreshed wellness brand;</w:t>
      </w:r>
    </w:p>
    <w:p>
      <w:pPr>
        <w:pStyle w:val="Compact"/>
        <w:numPr>
          <w:ilvl w:val="0"/>
          <w:numId w:val="1006"/>
        </w:numPr>
      </w:pPr>
      <w:r>
        <w:t xml:space="preserve">Ultra Punk Punch, Juice Monster Voodoo Grape, Strawberry Shots, and Lando Norris Zero Sugar;</w:t>
      </w:r>
    </w:p>
    <w:p>
      <w:pPr>
        <w:pStyle w:val="Compact"/>
        <w:numPr>
          <w:ilvl w:val="0"/>
          <w:numId w:val="1006"/>
        </w:numPr>
      </w:pPr>
      <w:r>
        <w:t xml:space="preserve">America 250-themed products across Ultra, Juice Monster, Reign, and Bang;</w:t>
      </w:r>
    </w:p>
    <w:p>
      <w:pPr>
        <w:pStyle w:val="Compact"/>
        <w:numPr>
          <w:ilvl w:val="0"/>
          <w:numId w:val="1006"/>
        </w:numPr>
      </w:pPr>
      <w:r>
        <w:t xml:space="preserve">New multipacks and club-channel formats.</w:t>
      </w:r>
    </w:p>
    <w:p>
      <w:pPr>
        <w:pStyle w:val="FirstParagraph"/>
      </w:pPr>
      <w:r>
        <w:t xml:space="preserve">The strategic question is whether innovation is incrementally expanding the franchise or merely adding complexity and promotional spend. Management’s 1Q message was encouraging: existing products accounted for</w:t>
      </w:r>
      <w:r>
        <w:t xml:space="preserve"> </w:t>
      </w:r>
      <w:r>
        <w:rPr>
          <w:b/>
          <w:bCs/>
        </w:rPr>
        <w:t xml:space="preserve">55% of EMEA growth</w:t>
      </w:r>
      <w:r>
        <w:t xml:space="preserve">, with innovation contributing the other 45%. That is the desired formula—innovation supports the core rather than replacing it.</w:t>
      </w:r>
    </w:p>
    <w:p>
      <w:pPr>
        <w:pStyle w:val="BodyText"/>
      </w:pPr>
      <w:r>
        <w:t xml:space="preserve">For 2Q, commentary on</w:t>
      </w:r>
      <w:r>
        <w:t xml:space="preserve"> </w:t>
      </w:r>
      <w:r>
        <w:rPr>
          <w:b/>
          <w:bCs/>
        </w:rPr>
        <w:t xml:space="preserve">FLRT’s early velocity, Storm’s retailer acceptance, Ultra’s performance, multipack expansion, and Bang’s relaunch</w:t>
      </w:r>
      <w:r>
        <w:t xml:space="preserve"> </w:t>
      </w:r>
      <w:r>
        <w:t xml:space="preserve">will matter more than immediate revenue contribution. New launches often carry upfront slotting, promotional, and marketing costs, so a strong sales result alongside disciplined promotional spending would be the best outcome.</w:t>
      </w:r>
    </w:p>
    <w:bookmarkEnd w:id="14"/>
    <w:bookmarkStart w:id="15" w:name="Xae4cc38cd6c4ba31ea6ed56cfdb53811f8a2184"/>
    <w:p>
      <w:pPr>
        <w:pStyle w:val="Heading2"/>
      </w:pPr>
      <w:r>
        <w:t xml:space="preserve">5. U.S. scanner data and share trends remain essential</w:t>
      </w:r>
    </w:p>
    <w:p>
      <w:pPr>
        <w:pStyle w:val="FirstParagraph"/>
      </w:pPr>
      <w:r>
        <w:t xml:space="preserve">The U.S. energy-drink category remained robust in the 13 weeks through April 25: category dollar sales were up</w:t>
      </w:r>
      <w:r>
        <w:t xml:space="preserve"> </w:t>
      </w:r>
      <w:r>
        <w:rPr>
          <w:b/>
          <w:bCs/>
        </w:rPr>
        <w:t xml:space="preserve">10.7%</w:t>
      </w:r>
      <w:r>
        <w:t xml:space="preserve">. Monster highlighted strong growth in Ultra, Juice Monster, and its full-sugar portfolio:</w:t>
      </w:r>
    </w:p>
    <w:p>
      <w:pPr>
        <w:pStyle w:val="Compact"/>
        <w:numPr>
          <w:ilvl w:val="0"/>
          <w:numId w:val="1007"/>
        </w:numPr>
      </w:pPr>
      <w:r>
        <w:t xml:space="preserve">Ultra brand family:</w:t>
      </w:r>
      <w:r>
        <w:t xml:space="preserve"> </w:t>
      </w:r>
      <w:r>
        <w:rPr>
          <w:b/>
          <w:bCs/>
        </w:rPr>
        <w:t xml:space="preserve">+20%</w:t>
      </w:r>
    </w:p>
    <w:p>
      <w:pPr>
        <w:pStyle w:val="Compact"/>
        <w:numPr>
          <w:ilvl w:val="0"/>
          <w:numId w:val="1007"/>
        </w:numPr>
      </w:pPr>
      <w:r>
        <w:t xml:space="preserve">Ultra White:</w:t>
      </w:r>
      <w:r>
        <w:t xml:space="preserve"> </w:t>
      </w:r>
      <w:r>
        <w:rPr>
          <w:b/>
          <w:bCs/>
        </w:rPr>
        <w:t xml:space="preserve">+34%</w:t>
      </w:r>
    </w:p>
    <w:p>
      <w:pPr>
        <w:pStyle w:val="Compact"/>
        <w:numPr>
          <w:ilvl w:val="0"/>
          <w:numId w:val="1007"/>
        </w:numPr>
      </w:pPr>
      <w:r>
        <w:t xml:space="preserve">Juice Monster:</w:t>
      </w:r>
      <w:r>
        <w:t xml:space="preserve"> </w:t>
      </w:r>
      <w:r>
        <w:rPr>
          <w:b/>
          <w:bCs/>
        </w:rPr>
        <w:t xml:space="preserve">+26%</w:t>
      </w:r>
    </w:p>
    <w:p>
      <w:pPr>
        <w:pStyle w:val="Compact"/>
        <w:numPr>
          <w:ilvl w:val="0"/>
          <w:numId w:val="1007"/>
        </w:numPr>
      </w:pPr>
      <w:r>
        <w:t xml:space="preserve">Full-sugar portfolio:</w:t>
      </w:r>
      <w:r>
        <w:t xml:space="preserve"> </w:t>
      </w:r>
      <w:r>
        <w:rPr>
          <w:b/>
          <w:bCs/>
        </w:rPr>
        <w:t xml:space="preserve">+8.5%</w:t>
      </w:r>
    </w:p>
    <w:p>
      <w:pPr>
        <w:pStyle w:val="FirstParagraph"/>
      </w:pPr>
      <w:r>
        <w:t xml:space="preserve">This matters because investors are watching whether Monster can outperform Red Bull, Celsius, and a broad range of better-for-you, wellness, and performance-energy competitors while retaining relevance across both zero-sugar and full-sugar offerings.</w:t>
      </w:r>
    </w:p>
    <w:p>
      <w:pPr>
        <w:pStyle w:val="BodyText"/>
      </w:pPr>
      <w:r>
        <w:t xml:space="preserve">The 2Q release’s scanner-data exhibit should be closely examined for:</w:t>
      </w:r>
    </w:p>
    <w:p>
      <w:pPr>
        <w:pStyle w:val="Compact"/>
        <w:numPr>
          <w:ilvl w:val="0"/>
          <w:numId w:val="1008"/>
        </w:numPr>
      </w:pPr>
      <w:r>
        <w:t xml:space="preserve">Dollar-sales growth relative to the category;</w:t>
      </w:r>
    </w:p>
    <w:p>
      <w:pPr>
        <w:pStyle w:val="Compact"/>
        <w:numPr>
          <w:ilvl w:val="0"/>
          <w:numId w:val="1008"/>
        </w:numPr>
      </w:pPr>
      <w:r>
        <w:t xml:space="preserve">Value-share movement;</w:t>
      </w:r>
    </w:p>
    <w:p>
      <w:pPr>
        <w:pStyle w:val="Compact"/>
        <w:numPr>
          <w:ilvl w:val="0"/>
          <w:numId w:val="1008"/>
        </w:numPr>
      </w:pPr>
      <w:r>
        <w:t xml:space="preserve">Performance by Monster Energy, Ultra, Juice Monster, Reign, Bang, NOS, and Full Throttle;</w:t>
      </w:r>
    </w:p>
    <w:p>
      <w:pPr>
        <w:pStyle w:val="Compact"/>
        <w:numPr>
          <w:ilvl w:val="0"/>
          <w:numId w:val="1008"/>
        </w:numPr>
      </w:pPr>
      <w:r>
        <w:t xml:space="preserve">Convenience versus grocery, club, and e-commerce trends.</w:t>
      </w:r>
    </w:p>
    <w:bookmarkEnd w:id="15"/>
    <w:bookmarkStart w:id="19" w:name="secondary-issues-to-monitor"/>
    <w:p>
      <w:pPr>
        <w:pStyle w:val="Heading2"/>
      </w:pPr>
      <w:r>
        <w:t xml:space="preserve">Secondary issues to monitor</w:t>
      </w:r>
    </w:p>
    <w:bookmarkStart w:id="16" w:name="Xf26ae6934843643df3e44f687d1c896045c0108"/>
    <w:p>
      <w:pPr>
        <w:pStyle w:val="Heading3"/>
      </w:pPr>
      <w:r>
        <w:t xml:space="preserve">Alcohol Brands: improving losses, but not yet a growth engine</w:t>
      </w:r>
    </w:p>
    <w:p>
      <w:pPr>
        <w:pStyle w:val="FirstParagraph"/>
      </w:pPr>
      <w:r>
        <w:t xml:space="preserve">Alcohol Brands sales declined 5.9% in 1Q to</w:t>
      </w:r>
      <w:r>
        <w:t xml:space="preserve"> </w:t>
      </w:r>
      <m:oMath>
        <m:r>
          <m:t>32.7</m:t>
        </m:r>
        <m:r>
          <m:t>m</m:t>
        </m:r>
        <m:r>
          <m:t>i</m:t>
        </m:r>
        <m:r>
          <m:t>l</m:t>
        </m:r>
        <m:r>
          <m:t>l</m:t>
        </m:r>
        <m:r>
          <m:t>i</m:t>
        </m:r>
        <m:r>
          <m:t>o</m:t>
        </m:r>
        <m:r>
          <m:t>n</m:t>
        </m:r>
        <m:r>
          <m:rPr>
            <m:sty m:val="p"/>
          </m:rPr>
          <m:t>,</m:t>
        </m:r>
        <m:r>
          <m:t>t</m:t>
        </m:r>
        <m:r>
          <m:t>h</m:t>
        </m:r>
        <m:r>
          <m:t>o</m:t>
        </m:r>
        <m:r>
          <m:t>u</m:t>
        </m:r>
        <m:r>
          <m:t>g</m:t>
        </m:r>
        <m:r>
          <m:t>h</m:t>
        </m:r>
        <m:r>
          <m:t>t</m:t>
        </m:r>
        <m:r>
          <m:t>h</m:t>
        </m:r>
        <m:r>
          <m:t>e</m:t>
        </m:r>
        <m:r>
          <m:t>s</m:t>
        </m:r>
        <m:r>
          <m:t>e</m:t>
        </m:r>
        <m:r>
          <m:t>g</m:t>
        </m:r>
        <m:r>
          <m:t>m</m:t>
        </m:r>
        <m:r>
          <m:t>e</m:t>
        </m:r>
        <m:r>
          <m:t>n</m:t>
        </m:r>
        <m:r>
          <m:t>t</m:t>
        </m:r>
        <m:r>
          <m:rPr>
            <m:sty m:val="p"/>
          </m:rPr>
          <m:t>’</m:t>
        </m:r>
        <m:r>
          <m:t>s</m:t>
        </m:r>
        <m:r>
          <m:t>o</m:t>
        </m:r>
        <m:r>
          <m:t>p</m:t>
        </m:r>
        <m:r>
          <m:t>e</m:t>
        </m:r>
        <m:r>
          <m:t>r</m:t>
        </m:r>
        <m:r>
          <m:t>a</m:t>
        </m:r>
        <m:r>
          <m:t>t</m:t>
        </m:r>
        <m:r>
          <m:t>i</m:t>
        </m:r>
        <m:r>
          <m:t>n</m:t>
        </m:r>
        <m:r>
          <m:t>g</m:t>
        </m:r>
        <m:r>
          <m:t>l</m:t>
        </m:r>
        <m:r>
          <m:t>o</m:t>
        </m:r>
        <m:r>
          <m:t>s</m:t>
        </m:r>
        <m:r>
          <m:t>s</m:t>
        </m:r>
        <m:r>
          <m:t>n</m:t>
        </m:r>
        <m:r>
          <m:t>a</m:t>
        </m:r>
        <m:r>
          <m:t>r</m:t>
        </m:r>
        <m:r>
          <m:t>r</m:t>
        </m:r>
        <m:r>
          <m:t>o</m:t>
        </m:r>
        <m:r>
          <m:t>w</m:t>
        </m:r>
        <m:r>
          <m:t>e</m:t>
        </m:r>
        <m:r>
          <m:t>d</m:t>
        </m:r>
        <m:r>
          <m:t>s</m:t>
        </m:r>
        <m:r>
          <m:t>u</m:t>
        </m:r>
        <m:r>
          <m:t>b</m:t>
        </m:r>
        <m:r>
          <m:t>s</m:t>
        </m:r>
        <m:r>
          <m:t>t</m:t>
        </m:r>
        <m:r>
          <m:t>a</m:t>
        </m:r>
        <m:r>
          <m:t>n</m:t>
        </m:r>
        <m:r>
          <m:t>t</m:t>
        </m:r>
        <m:r>
          <m:t>i</m:t>
        </m:r>
        <m:r>
          <m:t>a</m:t>
        </m:r>
        <m:r>
          <m:t>l</m:t>
        </m:r>
        <m:r>
          <m:t>l</m:t>
        </m:r>
        <m:r>
          <m:t>y</m:t>
        </m:r>
        <m:r>
          <m:t>t</m:t>
        </m:r>
        <m:r>
          <m:t>o</m:t>
        </m:r>
        <m:r>
          <m:rPr>
            <m:sty m:val="p"/>
          </m:rPr>
          <m:t>*</m:t>
        </m:r>
        <m:r>
          <m:rPr>
            <m:sty m:val="p"/>
          </m:rPr>
          <m:t>*</m:t>
        </m:r>
      </m:oMath>
      <w:r>
        <w:t xml:space="preserve">9.6 million** from</w:t>
      </w:r>
      <w:r>
        <w:t xml:space="preserve"> </w:t>
      </w:r>
      <w:r>
        <w:rPr>
          <w:b/>
          <w:bCs/>
        </w:rPr>
        <w:t xml:space="preserve">$21.5 million</w:t>
      </w:r>
      <w:r>
        <w:t xml:space="preserve"> </w:t>
      </w:r>
      <w:r>
        <w:t xml:space="preserve">a year earlier. It is now too small to drive the quarter, but further loss reduction would modestly improve consolidated earnings quality. Conversely, another sales decline or renewed impairment would be a distraction.</w:t>
      </w:r>
    </w:p>
    <w:bookmarkEnd w:id="16"/>
    <w:bookmarkStart w:id="17" w:name="india-labeling-development"/>
    <w:p>
      <w:pPr>
        <w:pStyle w:val="Heading3"/>
      </w:pPr>
      <w:r>
        <w:t xml:space="preserve">India labeling development</w:t>
      </w:r>
    </w:p>
    <w:p>
      <w:pPr>
        <w:pStyle w:val="FirstParagraph"/>
      </w:pPr>
      <w:r>
        <w:t xml:space="preserve">On July 27, Monster was among beverage companies reportedly given notice by India’s food regulator to stop using the descriptor “energy drink,” with companies given 90 days to comply. This is unlikely to be a material near-term financial driver, but investors should listen for management’s view on the labeling change, any product-packaging costs, and whether it affects marketing or category perception in India—a market Monster identified as a long-term growth opportunity.</w:t>
      </w:r>
    </w:p>
    <w:bookmarkEnd w:id="17"/>
    <w:bookmarkStart w:id="18" w:name="capital-allocation-and-balance-sheet"/>
    <w:p>
      <w:pPr>
        <w:pStyle w:val="Heading3"/>
      </w:pPr>
      <w:r>
        <w:t xml:space="preserve">Capital allocation and balance sheet</w:t>
      </w:r>
    </w:p>
    <w:p>
      <w:pPr>
        <w:pStyle w:val="FirstParagraph"/>
      </w:pPr>
      <w:r>
        <w:t xml:space="preserve">Monster entered 2Q with exceptional financial flexibility:</w:t>
      </w:r>
      <w:r>
        <w:t xml:space="preserve"> </w:t>
      </w:r>
      <m:oMath>
        <m:r>
          <m:t>2.04</m:t>
        </m:r>
        <m:r>
          <m:t>b</m:t>
        </m:r>
        <m:r>
          <m:t>i</m:t>
        </m:r>
        <m:r>
          <m:t>l</m:t>
        </m:r>
        <m:r>
          <m:t>l</m:t>
        </m:r>
        <m:r>
          <m:t>i</m:t>
        </m:r>
        <m:r>
          <m:t>o</m:t>
        </m:r>
        <m:r>
          <m:t>n</m:t>
        </m:r>
        <m:r>
          <m:t>o</m:t>
        </m:r>
        <m:r>
          <m:t>f</m:t>
        </m:r>
        <m:r>
          <m:t>c</m:t>
        </m:r>
        <m:r>
          <m:t>a</m:t>
        </m:r>
        <m:r>
          <m:t>s</m:t>
        </m:r>
        <m:r>
          <m:t>h</m:t>
        </m:r>
        <m:r>
          <m:rPr>
            <m:sty m:val="p"/>
          </m:rPr>
          <m:t>*</m:t>
        </m:r>
        <m:r>
          <m:rPr>
            <m:sty m:val="p"/>
          </m:rPr>
          <m:t>*</m:t>
        </m:r>
        <m:r>
          <m:rPr>
            <m:sty m:val="p"/>
          </m:rPr>
          <m:t>,</m:t>
        </m:r>
        <m:r>
          <m:rPr>
            <m:sty m:val="p"/>
          </m:rPr>
          <m:t>*</m:t>
        </m:r>
        <m:r>
          <m:rPr>
            <m:sty m:val="p"/>
          </m:rPr>
          <m:t>*</m:t>
        </m:r>
      </m:oMath>
      <w:r>
        <w:rPr>
          <w:b/>
          <w:bCs/>
        </w:rPr>
        <w:t xml:space="preserve">1.72 billion of investments</w:t>
      </w:r>
      <w:r>
        <w:t xml:space="preserve">, and no outstanding borrowings under its</w:t>
      </w:r>
      <w:r>
        <w:t xml:space="preserve"> </w:t>
      </w:r>
      <m:oMath>
        <m:r>
          <m:t>500</m:t>
        </m:r>
        <m:r>
          <m:t>m</m:t>
        </m:r>
        <m:r>
          <m:t>i</m:t>
        </m:r>
        <m:r>
          <m:t>l</m:t>
        </m:r>
        <m:r>
          <m:t>l</m:t>
        </m:r>
        <m:r>
          <m:t>i</m:t>
        </m:r>
        <m:r>
          <m:t>o</m:t>
        </m:r>
        <m:r>
          <m:t>n</m:t>
        </m:r>
        <m:r>
          <m:t>r</m:t>
        </m:r>
        <m:r>
          <m:t>e</m:t>
        </m:r>
        <m:r>
          <m:t>v</m:t>
        </m:r>
        <m:r>
          <m:t>o</m:t>
        </m:r>
        <m:r>
          <m:t>l</m:t>
        </m:r>
        <m:r>
          <m:t>v</m:t>
        </m:r>
        <m:r>
          <m:t>i</m:t>
        </m:r>
        <m:r>
          <m:t>n</m:t>
        </m:r>
        <m:r>
          <m:t>g</m:t>
        </m:r>
        <m:r>
          <m:t>c</m:t>
        </m:r>
        <m:r>
          <m:t>r</m:t>
        </m:r>
        <m:r>
          <m:t>e</m:t>
        </m:r>
        <m:r>
          <m:t>d</m:t>
        </m:r>
        <m:r>
          <m:t>i</m:t>
        </m:r>
        <m:r>
          <m:t>t</m:t>
        </m:r>
        <m:r>
          <m:t>f</m:t>
        </m:r>
        <m:r>
          <m:t>a</m:t>
        </m:r>
        <m:r>
          <m:t>c</m:t>
        </m:r>
        <m:r>
          <m:t>i</m:t>
        </m:r>
        <m:r>
          <m:t>l</m:t>
        </m:r>
        <m:r>
          <m:t>i</m:t>
        </m:r>
        <m:r>
          <m:t>t</m:t>
        </m:r>
        <m:r>
          <m:t>y</m:t>
        </m:r>
        <m:r>
          <m:t>a</m:t>
        </m:r>
        <m:r>
          <m:t>s</m:t>
        </m:r>
        <m:r>
          <m:t>o</m:t>
        </m:r>
        <m:r>
          <m:t>f</m:t>
        </m:r>
        <m:r>
          <m:t>M</m:t>
        </m:r>
        <m:r>
          <m:t>a</m:t>
        </m:r>
        <m:r>
          <m:t>r</m:t>
        </m:r>
        <m:r>
          <m:t>c</m:t>
        </m:r>
        <m:r>
          <m:t>h</m:t>
        </m:r>
        <m:r>
          <m:t>31</m:t>
        </m:r>
        <m:r>
          <m:rPr>
            <m:sty m:val="p"/>
          </m:rPr>
          <m:t>.</m:t>
        </m:r>
        <m:r>
          <m:t>T</m:t>
        </m:r>
        <m:r>
          <m:t>h</m:t>
        </m:r>
        <m:r>
          <m:t>e</m:t>
        </m:r>
        <m:r>
          <m:t>c</m:t>
        </m:r>
        <m:r>
          <m:t>o</m:t>
        </m:r>
        <m:r>
          <m:t>m</m:t>
        </m:r>
        <m:r>
          <m:t>p</m:t>
        </m:r>
        <m:r>
          <m:t>a</m:t>
        </m:r>
        <m:r>
          <m:t>n</m:t>
        </m:r>
        <m:r>
          <m:t>y</m:t>
        </m:r>
        <m:r>
          <m:t>h</m:t>
        </m:r>
        <m:r>
          <m:t>a</m:t>
        </m:r>
        <m:r>
          <m:t>d</m:t>
        </m:r>
        <m:r>
          <m:rPr>
            <m:sty m:val="p"/>
          </m:rPr>
          <m:t>*</m:t>
        </m:r>
        <m:r>
          <m:rPr>
            <m:sty m:val="p"/>
          </m:rPr>
          <m:t>*</m:t>
        </m:r>
      </m:oMath>
      <w:r>
        <w:t xml:space="preserve">400 million** remaining under its repurchase authorization as of May 6.</w:t>
      </w:r>
    </w:p>
    <w:p>
      <w:pPr>
        <w:pStyle w:val="BodyText"/>
      </w:pPr>
      <w:r>
        <w:t xml:space="preserve">The company repurchased $100 million of stock in 1Q at an average price of $73.86. With the share price materially higher entering 2Q, the repurchase pace may slow, but investors should still look for:</w:t>
      </w:r>
    </w:p>
    <w:p>
      <w:pPr>
        <w:pStyle w:val="Compact"/>
        <w:numPr>
          <w:ilvl w:val="0"/>
          <w:numId w:val="1009"/>
        </w:numPr>
      </w:pPr>
      <w:r>
        <w:t xml:space="preserve">Remaining authorization;</w:t>
      </w:r>
    </w:p>
    <w:p>
      <w:pPr>
        <w:pStyle w:val="Compact"/>
        <w:numPr>
          <w:ilvl w:val="0"/>
          <w:numId w:val="1009"/>
        </w:numPr>
      </w:pPr>
      <w:r>
        <w:t xml:space="preserve">2Q repurchase activity;</w:t>
      </w:r>
    </w:p>
    <w:p>
      <w:pPr>
        <w:pStyle w:val="Compact"/>
        <w:numPr>
          <w:ilvl w:val="0"/>
          <w:numId w:val="1009"/>
        </w:numPr>
      </w:pPr>
      <w:r>
        <w:t xml:space="preserve">Any indication of a larger or renewed authorization;</w:t>
      </w:r>
    </w:p>
    <w:p>
      <w:pPr>
        <w:pStyle w:val="Compact"/>
        <w:numPr>
          <w:ilvl w:val="0"/>
          <w:numId w:val="1009"/>
        </w:numPr>
      </w:pPr>
      <w:r>
        <w:t xml:space="preserve">Commentary on M&amp;A appetite versus returning capital.</w:t>
      </w:r>
    </w:p>
    <w:bookmarkEnd w:id="18"/>
    <w:bookmarkEnd w:id="19"/>
    <w:bookmarkStart w:id="20"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investors want to see</w:t>
            </w:r>
          </w:p>
        </w:tc>
        <w:tc>
          <w:tcPr/>
          <w:p>
            <w:pPr>
              <w:pStyle w:val="Compact"/>
            </w:pPr>
            <w:r>
              <w:t xml:space="preserve">Potential negative surprise</w:t>
            </w:r>
          </w:p>
        </w:tc>
      </w:tr>
      <w:tr>
        <w:tc>
          <w:tcPr/>
          <w:p>
            <w:pPr>
              <w:pStyle w:val="Compact"/>
            </w:pPr>
            <w:r>
              <w:t xml:space="preserve">Revenue</w:t>
            </w:r>
          </w:p>
        </w:tc>
        <w:tc>
          <w:tcPr/>
          <w:p>
            <w:pPr>
              <w:pStyle w:val="Compact"/>
            </w:pPr>
            <w:r>
              <w:t xml:space="preserve">High-teens or better FX-neutral growth; strong May/June continuation</w:t>
            </w:r>
          </w:p>
        </w:tc>
        <w:tc>
          <w:tcPr/>
          <w:p>
            <w:pPr>
              <w:pStyle w:val="Compact"/>
            </w:pPr>
            <w:r>
              <w:t xml:space="preserve">Material deceleration from April/1Q trends</w:t>
            </w:r>
          </w:p>
        </w:tc>
      </w:tr>
      <w:tr>
        <w:tc>
          <w:tcPr/>
          <w:p>
            <w:pPr>
              <w:pStyle w:val="Compact"/>
            </w:pPr>
            <w:r>
              <w:t xml:space="preserve">International</w:t>
            </w:r>
          </w:p>
        </w:tc>
        <w:tc>
          <w:tcPr/>
          <w:p>
            <w:pPr>
              <w:pStyle w:val="Compact"/>
            </w:pPr>
            <w:r>
              <w:t xml:space="preserve">Continued outsized EMEA/APAC/LATAM growth and share gains</w:t>
            </w:r>
          </w:p>
        </w:tc>
        <w:tc>
          <w:tcPr/>
          <w:p>
            <w:pPr>
              <w:pStyle w:val="Compact"/>
            </w:pPr>
            <w:r>
              <w:t xml:space="preserve">Growth cooling sharply or distributor-inventory issues</w:t>
            </w:r>
          </w:p>
        </w:tc>
      </w:tr>
      <w:tr>
        <w:tc>
          <w:tcPr/>
          <w:p>
            <w:pPr>
              <w:pStyle w:val="Compact"/>
            </w:pPr>
            <w:r>
              <w:t xml:space="preserve">U.S.</w:t>
            </w:r>
          </w:p>
        </w:tc>
        <w:tc>
          <w:tcPr/>
          <w:p>
            <w:pPr>
              <w:pStyle w:val="Compact"/>
            </w:pPr>
            <w:r>
              <w:t xml:space="preserve">Category outperformance and sustained Ultra/Juice momentum</w:t>
            </w:r>
          </w:p>
        </w:tc>
        <w:tc>
          <w:tcPr/>
          <w:p>
            <w:pPr>
              <w:pStyle w:val="Compact"/>
            </w:pPr>
            <w:r>
              <w:t xml:space="preserve">Share losses or heavier discounting</w:t>
            </w:r>
          </w:p>
        </w:tc>
      </w:tr>
      <w:tr>
        <w:tc>
          <w:tcPr/>
          <w:p>
            <w:pPr>
              <w:pStyle w:val="Compact"/>
            </w:pPr>
            <w:r>
              <w:t xml:space="preserve">Gross margin</w:t>
            </w:r>
          </w:p>
        </w:tc>
        <w:tc>
          <w:tcPr/>
          <w:p>
            <w:pPr>
              <w:pStyle w:val="Compact"/>
            </w:pPr>
            <w:r>
              <w:t xml:space="preserve">Sequential stability; pricing/productivity offsetting costs</w:t>
            </w:r>
          </w:p>
        </w:tc>
        <w:tc>
          <w:tcPr/>
          <w:p>
            <w:pPr>
              <w:pStyle w:val="Compact"/>
            </w:pPr>
            <w:r>
              <w:t xml:space="preserve">Margin compression from aluminum, freight, mix, or promotions</w:t>
            </w:r>
          </w:p>
        </w:tc>
      </w:tr>
      <w:tr>
        <w:tc>
          <w:tcPr/>
          <w:p>
            <w:pPr>
              <w:pStyle w:val="Compact"/>
            </w:pPr>
            <w:r>
              <w:t xml:space="preserve">Innovation</w:t>
            </w:r>
          </w:p>
        </w:tc>
        <w:tc>
          <w:tcPr/>
          <w:p>
            <w:pPr>
              <w:pStyle w:val="Compact"/>
            </w:pPr>
            <w:r>
              <w:t xml:space="preserve">Strong initial retail execution for FLRT and Storm</w:t>
            </w:r>
          </w:p>
        </w:tc>
        <w:tc>
          <w:tcPr/>
          <w:p>
            <w:pPr>
              <w:pStyle w:val="Compact"/>
            </w:pPr>
            <w:r>
              <w:t xml:space="preserve">Weak velocities, elevated spending, or cannibalization</w:t>
            </w:r>
          </w:p>
        </w:tc>
      </w:tr>
      <w:tr>
        <w:tc>
          <w:tcPr/>
          <w:p>
            <w:pPr>
              <w:pStyle w:val="Compact"/>
            </w:pPr>
            <w:r>
              <w:t xml:space="preserve">Capital allocation</w:t>
            </w:r>
          </w:p>
        </w:tc>
        <w:tc>
          <w:tcPr/>
          <w:p>
            <w:pPr>
              <w:pStyle w:val="Compact"/>
            </w:pPr>
            <w:r>
              <w:t xml:space="preserve">Continued repurchases and balance-sheet discipline</w:t>
            </w:r>
          </w:p>
        </w:tc>
        <w:tc>
          <w:tcPr/>
          <w:p>
            <w:pPr>
              <w:pStyle w:val="Compact"/>
            </w:pPr>
            <w:r>
              <w:t xml:space="preserve">No repurchase activity without an alternative use of capital</w:t>
            </w:r>
          </w:p>
        </w:tc>
      </w:tr>
      <w:tr>
        <w:tc>
          <w:tcPr/>
          <w:p>
            <w:pPr>
              <w:pStyle w:val="Compact"/>
            </w:pPr>
            <w:r>
              <w:t xml:space="preserve">Outlook</w:t>
            </w:r>
          </w:p>
        </w:tc>
        <w:tc>
          <w:tcPr/>
          <w:p>
            <w:pPr>
              <w:pStyle w:val="Compact"/>
            </w:pPr>
            <w:r>
              <w:t xml:space="preserve">Confidence in summer demand and 2H pipeline</w:t>
            </w:r>
          </w:p>
        </w:tc>
        <w:tc>
          <w:tcPr/>
          <w:p>
            <w:pPr>
              <w:pStyle w:val="Compact"/>
            </w:pPr>
            <w:r>
              <w:t xml:space="preserve">More cautious language around tariffs, costs, or consumers</w:t>
            </w:r>
          </w:p>
        </w:tc>
      </w:tr>
    </w:tbl>
    <w:bookmarkEnd w:id="20"/>
    <w:bookmarkStart w:id="21" w:name="bottom-line"/>
    <w:p>
      <w:pPr>
        <w:pStyle w:val="Heading2"/>
      </w:pPr>
      <w:r>
        <w:t xml:space="preserve">Bottom line</w:t>
      </w:r>
    </w:p>
    <w:p>
      <w:pPr>
        <w:pStyle w:val="FirstParagraph"/>
      </w:pPr>
      <w:r>
        <w:t xml:space="preserve">Monster’s 2Q26 report is primarily a</w:t>
      </w:r>
      <w:r>
        <w:t xml:space="preserve"> </w:t>
      </w:r>
      <w:r>
        <w:rPr>
          <w:b/>
          <w:bCs/>
        </w:rPr>
        <w:t xml:space="preserve">durability-of-growth and margin-resilience</w:t>
      </w:r>
      <w:r>
        <w:t xml:space="preserve"> </w:t>
      </w:r>
      <w:r>
        <w:t xml:space="preserve">test. The company has already supplied a favorable April sales read, and its combination of global category growth, expanding Coca-Cola-system distribution, strong core brands, and a broader innovation slate supports a constructive fundamental outlook.</w:t>
      </w:r>
    </w:p>
    <w:p>
      <w:pPr>
        <w:pStyle w:val="BodyText"/>
      </w:pPr>
      <w:r>
        <w:t xml:space="preserve">The hurdle is higher after 1Q’s 22% FX-neutral sales growth. A favorable result likely requires more than a headline sales/EPS beat: investors will want evidence that</w:t>
      </w:r>
      <w:r>
        <w:t xml:space="preserve"> </w:t>
      </w:r>
      <w:r>
        <w:rPr>
          <w:b/>
          <w:bCs/>
        </w:rPr>
        <w:t xml:space="preserve">international momentum remains broad-based, U.S. share trends are intact, innovation is incremental, and gross margins can hold near current levels despite aluminum and mix pressure</w:t>
      </w:r>
      <w:r>
        <w:t xml:space="preserve">.</w:t>
      </w:r>
    </w:p>
    <w:p>
      <w:pPr>
        <w:pStyle w:val="BodyText"/>
      </w:pPr>
      <w:r>
        <w:rPr>
          <w:b/>
          <w:bCs/>
        </w:rPr>
        <w:t xml:space="preserve">Most important call question:</w:t>
      </w:r>
      <w:r>
        <w:t xml:space="preserve"> </w:t>
      </w:r>
      <w:r>
        <w:t xml:space="preserve">Can Monster sustain current volume and share momentum through the summer while keeping gross-margin pressure “modest”—or has the cost/mix tradeoff begun to outweigh the benefit of rapid international expansion?</w:t>
      </w:r>
    </w:p>
    <w:p>
      <w:pPr>
        <w:pStyle w:val="BodyText"/>
      </w:pPr>
      <w:r>
        <w:rPr>
          <w:i/>
          <w:iCs/>
        </w:rPr>
        <w:t xml:space="preserve">Source materials reviewed: Monster’s 1Q26 earnings release, 1Q26 earnings-call transcript, 1Q26 Form 10-Q, 2Q25 earnings release, recent MNST market/news data, and historical stock-price data through August 5,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2026-08-06T01:07:55Z</dcterms:created>
  <dcterms:modified xsi:type="dcterms:W3CDTF">2026-08-06T01:07:55Z</dcterms:modified>
</cp:coreProperties>
</file>

<file path=docProps/custom.xml><?xml version="1.0" encoding="utf-8"?>
<Properties xmlns="http://schemas.openxmlformats.org/officeDocument/2006/custom-properties" xmlns:vt="http://schemas.openxmlformats.org/officeDocument/2006/docPropsVTypes"/>
</file>