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mnst-earnings-predictions--2026-08-06"/>
    <w:p>
      <w:pPr>
        <w:pStyle w:val="Heading1"/>
      </w:pPr>
      <w:r>
        <w:t xml:space="preserve">MNST Earnings Predictions — 2026-08-06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MNST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Net Revenue (Q2 2026)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~$2.51B vs. cons $2.437B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MNST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Gross Margin % (Q2 2026)</w:t>
            </w:r>
          </w:p>
        </w:tc>
        <w:tc>
          <w:tcPr/>
          <w:p>
            <w:pPr>
              <w:pStyle w:val="Compact"/>
            </w:pPr>
            <w:r>
              <w:t xml:space="preserve">MISS</w:t>
            </w:r>
          </w:p>
        </w:tc>
        <w:tc>
          <w:tcPr/>
          <w:p>
            <w:pPr>
              <w:pStyle w:val="Compact"/>
            </w:pPr>
            <w:r>
              <w:t xml:space="preserve">pred ~54.2% vs. cons ~54.5% implied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MNST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EMEA Revenue (Q2 2026)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~$615M vs. cons $586M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MNST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 2026 Revenue tone (FY 2026)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reaffirm ~$9.6B vs. cons $9.589B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MNST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H2 Gross Margin trajectory (H2 2026)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rate of increase moderating vs. cons flat H2 margin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MNST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July 2026 sales read / Q3 proxy (Q3 2026)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~+20-22% YoY vs. Q3 cons $2.446B (+11.3% YoY implied)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MNST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-1.5%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MNST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-0.5% (STABILIZE)</w:t>
            </w:r>
          </w:p>
        </w:tc>
        <w:tc>
          <w:tcPr/>
          <w:p>
            <w:pPr>
              <w:pStyle w:val="Compact"/>
            </w:pPr>
            <w:r>
              <w:t xml:space="preserve">STABILIZE — split-adjusted trading begins Aug 11, providing a technical bid; revenue beat drives modest FY estimate revisions upward but margin miss caps recovery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2026-08-08T02:00:45Z</dcterms:created>
  <dcterms:modified xsi:type="dcterms:W3CDTF">2026-08-08T02:00:45Z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