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Monster Beverage Corporation (MNST)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Monster Beverage Corporation</w:t>
            </w:r>
          </w:p>
        </w:tc>
      </w:tr>
      <w:tr>
        <w:tc>
          <w:tcPr>
            <w:tcW w:type="dxa" w:w="4320"/>
          </w:tcPr>
          <w:p>
            <w:r>
              <w:rPr>
                <w:rFonts w:ascii="Calibri" w:hAnsi="Calibri"/>
                <w:b/>
                <w:sz w:val="22"/>
              </w:rPr>
              <w:t>Ticker</w:t>
            </w:r>
          </w:p>
        </w:tc>
        <w:tc>
          <w:tcPr>
            <w:tcW w:type="dxa" w:w="4320"/>
          </w:tcPr>
          <w:p>
            <w:r>
              <w:rPr>
                <w:rFonts w:ascii="Calibri" w:hAnsi="Calibri"/>
                <w:sz w:val="22"/>
              </w:rPr>
              <w:t>MNST (NASDAQ)</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w:t>
            </w:r>
          </w:p>
        </w:tc>
      </w:tr>
      <w:tr>
        <w:tc>
          <w:tcPr>
            <w:tcW w:type="dxa" w:w="4320"/>
          </w:tcPr>
          <w:p>
            <w:r>
              <w:rPr>
                <w:rFonts w:ascii="Calibri" w:hAnsi="Calibri"/>
                <w:b/>
                <w:sz w:val="22"/>
              </w:rPr>
              <w:t>Prepared Date</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after the massive Q1 beat, April sales data (+24.4% YoY) points to continued strong momentum, and the energy category remains one of the strongest in all of consumer staples; the biggest swing factor is whether gross margin can stabilize or surprise to the upside against the aluminum/tariff headwind narrative.</w:t>
      </w:r>
    </w:p>
    <w:p>
      <w:r>
        <w:rPr>
          <w:rFonts w:ascii="Calibri" w:hAnsi="Calibri"/>
          <w:color w:val="525866"/>
          <w:sz w:val="22"/>
        </w:rPr>
        <w:t xml:space="preserve">Monster heads into Q2 2026 earnings with consensus net revenue of ~$2.44B (+15.4% YoY) and operating EPS of ~$0.58, both representing a meaningfully lower bar than the blowout Q1 print ($2.35B revenue, +26.9% YoY) — a natural deceleration that the market appears to have already priced in. Management's April 2026 sales disclosure of +24.4% YoY (non-FX adjusted) on the Q1 call provides a strong early read on Q2 momentum, though management cautioned against extrapolating a single month. </w:t>
      </w:r>
      <w:r>
        <w:rPr>
          <w:rFonts w:ascii="Calibri" w:hAnsi="Calibri"/>
          <w:b/>
          <w:color w:val="525866"/>
          <w:sz w:val="22"/>
        </w:rPr>
        <w:t>Guidance tone remains confident</w:t>
      </w:r>
      <w:r>
        <w:rPr>
          <w:rFonts w:ascii="Calibri" w:hAnsi="Calibri"/>
          <w:color w:val="525866"/>
          <w:sz w:val="22"/>
        </w:rPr>
        <w:t xml:space="preserve">: the November 2025 price increase is performing as expected, international expansion is accelerating across all regions, and management has explicitly stated it does not expect tariffs to have a material impact on operating results. Estimate revisions have been modestly positive since the Q1 print — Q2 consensus revenue has edged up from ~$2.43B to ~$2.44B — suggesting the Street is gradually upgrading its view without getting ahead of itself. The stock has rallied ~24% since the Q1 earnings date (May 7), significantly outperforming XLP (+1.6%) and the S&amp;P 500 (+5.2%), which means some beat is already priced in and the stock needs a clean print plus positive gross margin commentary to sustain the move. The key wildcard is </w:t>
      </w:r>
      <w:r>
        <w:rPr>
          <w:rFonts w:ascii="Calibri" w:hAnsi="Calibri"/>
          <w:b/>
          <w:color w:val="525866"/>
          <w:sz w:val="22"/>
        </w:rPr>
        <w:t>gross margin</w:t>
      </w:r>
      <w:r>
        <w:rPr>
          <w:rFonts w:ascii="Calibri" w:hAnsi="Calibri"/>
          <w:color w:val="525866"/>
          <w:sz w:val="22"/>
        </w:rPr>
        <w:t>: management guided to a "continued modest sequential increase in costs" through year-end from aluminum/Midwest premium headwinds, and any upside surprise on margin (or a more hawkish tone on additional pricing actions) could be the catalyst that drives the stock materially higher on the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after Q1’s blowout; revenue growth is the primary driver but </w:t>
      </w:r>
      <w:r>
        <w:rPr>
          <w:rFonts w:ascii="Calibri" w:hAnsi="Calibri"/>
          <w:b/>
          <w:color w:val="525866"/>
          <w:sz w:val="22"/>
        </w:rPr>
        <w:t>gross margin is the bigger swing factor</w:t>
      </w:r>
      <w:r>
        <w:rPr>
          <w:rFonts w:ascii="Calibri" w:hAnsi="Calibri"/>
          <w:color w:val="525866"/>
          <w:sz w:val="22"/>
        </w:rPr>
        <w:t xml:space="preserve"> — any upside vs. the ~54.5% consensus estimate would be a positive catalyst given the aluminum headwind narrative.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$2.353B</w:t>
            </w:r>
          </w:p>
        </w:tc>
        <w:tc>
          <w:tcPr>
            <w:tcW w:type="dxa" w:w="1234"/>
          </w:tcPr>
          <w:p>
            <w:r>
              <w:rPr>
                <w:rFonts w:ascii="Calibri" w:hAnsi="Calibri"/>
                <w:sz w:val="22"/>
              </w:rPr>
              <w:t>$2.112B</w:t>
            </w:r>
          </w:p>
        </w:tc>
        <w:tc>
          <w:tcPr>
            <w:tcW w:type="dxa" w:w="1234"/>
          </w:tcPr>
          <w:p>
            <w:r>
              <w:rPr>
                <w:rFonts w:ascii="Calibri" w:hAnsi="Calibri"/>
                <w:sz w:val="22"/>
              </w:rPr>
              <w:t>$2.437B</w:t>
            </w:r>
          </w:p>
        </w:tc>
        <w:tc>
          <w:tcPr>
            <w:tcW w:type="dxa" w:w="1234"/>
          </w:tcPr>
          <w:p>
            <w:r>
              <w:rPr>
                <w:rFonts w:ascii="Calibri" w:hAnsi="Calibri"/>
                <w:sz w:val="22"/>
              </w:rPr>
              <w:t>+15.4%</w:t>
            </w:r>
          </w:p>
        </w:tc>
        <w:tc>
          <w:tcPr>
            <w:tcW w:type="dxa" w:w="1234"/>
          </w:tcPr>
          <w:p>
            <w:r>
              <w:rPr>
                <w:rFonts w:ascii="Calibri" w:hAnsi="Calibri"/>
                <w:sz w:val="22"/>
              </w:rPr>
              <w:t>No explicit Q2 guidance; April sales +24.4% YoY (non-FX)</w:t>
            </w:r>
          </w:p>
        </w:tc>
        <w:tc>
          <w:tcPr>
            <w:tcW w:type="dxa" w:w="1234"/>
          </w:tcPr>
          <w:p>
            <w:r>
              <w:rPr>
                <w:rFonts w:ascii="Calibri" w:hAnsi="Calibri"/>
                <w:sz w:val="22"/>
              </w:rPr>
              <w:t>N/A (no formal guidance)</w:t>
            </w:r>
          </w:p>
        </w:tc>
      </w:tr>
      <w:tr>
        <w:tc>
          <w:tcPr>
            <w:tcW w:type="dxa" w:w="1234"/>
          </w:tcPr>
          <w:p>
            <w:r>
              <w:rPr>
                <w:rFonts w:ascii="Calibri" w:hAnsi="Calibri"/>
                <w:sz w:val="22"/>
              </w:rPr>
              <w:t>Gross Profit ($B)</w:t>
            </w:r>
          </w:p>
        </w:tc>
        <w:tc>
          <w:tcPr>
            <w:tcW w:type="dxa" w:w="1234"/>
          </w:tcPr>
          <w:p>
            <w:r>
              <w:rPr>
                <w:rFonts w:ascii="Calibri" w:hAnsi="Calibri"/>
                <w:sz w:val="22"/>
              </w:rPr>
              <w:t>$1.293B</w:t>
            </w:r>
          </w:p>
        </w:tc>
        <w:tc>
          <w:tcPr>
            <w:tcW w:type="dxa" w:w="1234"/>
          </w:tcPr>
          <w:p>
            <w:r>
              <w:rPr>
                <w:rFonts w:ascii="Calibri" w:hAnsi="Calibri"/>
                <w:sz w:val="22"/>
              </w:rPr>
              <w:t>$1.176B</w:t>
            </w:r>
          </w:p>
        </w:tc>
        <w:tc>
          <w:tcPr>
            <w:tcW w:type="dxa" w:w="1234"/>
          </w:tcPr>
          <w:p>
            <w:r>
              <w:rPr>
                <w:rFonts w:ascii="Calibri" w:hAnsi="Calibri"/>
                <w:sz w:val="22"/>
              </w:rPr>
              <w:t>$1.328B</w:t>
            </w:r>
          </w:p>
        </w:tc>
        <w:tc>
          <w:tcPr>
            <w:tcW w:type="dxa" w:w="1234"/>
          </w:tcPr>
          <w:p>
            <w:r>
              <w:rPr>
                <w:rFonts w:ascii="Calibri" w:hAnsi="Calibri"/>
                <w:sz w:val="22"/>
              </w:rPr>
              <w:t>+12.9%</w:t>
            </w:r>
          </w:p>
        </w:tc>
        <w:tc>
          <w:tcPr>
            <w:tcW w:type="dxa" w:w="1234"/>
          </w:tcPr>
          <w:p>
            <w:r>
              <w:rPr>
                <w:rFonts w:ascii="Calibri" w:hAnsi="Calibri"/>
                <w:sz w:val="22"/>
              </w:rPr>
              <w:t>Modest sequential cost increase expected through year-end (aluminum/Midwest premium)</w:t>
            </w:r>
          </w:p>
        </w:tc>
        <w:tc>
          <w:tcPr>
            <w:tcW w:type="dxa" w:w="1234"/>
          </w:tcPr>
          <w:p>
            <w:r>
              <w:rPr>
                <w:rFonts w:ascii="Calibri" w:hAnsi="Calibri"/>
                <w:sz w:val="22"/>
              </w:rPr>
              <w:t>N/A (no formal guidance)</w:t>
            </w:r>
          </w:p>
        </w:tc>
      </w:tr>
      <w:tr>
        <w:tc>
          <w:tcPr>
            <w:tcW w:type="dxa" w:w="1234"/>
          </w:tcPr>
          <w:p>
            <w:r>
              <w:rPr>
                <w:rFonts w:ascii="Calibri" w:hAnsi="Calibri"/>
                <w:sz w:val="22"/>
              </w:rPr>
              <w:t>Gross Margin (%)</w:t>
            </w:r>
          </w:p>
        </w:tc>
        <w:tc>
          <w:tcPr>
            <w:tcW w:type="dxa" w:w="1234"/>
          </w:tcPr>
          <w:p>
            <w:r>
              <w:rPr>
                <w:rFonts w:ascii="Calibri" w:hAnsi="Calibri"/>
                <w:sz w:val="22"/>
              </w:rPr>
              <w:t>55.0%</w:t>
            </w:r>
          </w:p>
        </w:tc>
        <w:tc>
          <w:tcPr>
            <w:tcW w:type="dxa" w:w="1234"/>
          </w:tcPr>
          <w:p>
            <w:r>
              <w:rPr>
                <w:rFonts w:ascii="Calibri" w:hAnsi="Calibri"/>
                <w:sz w:val="22"/>
              </w:rPr>
              <w:t>55.7%</w:t>
            </w:r>
          </w:p>
        </w:tc>
        <w:tc>
          <w:tcPr>
            <w:tcW w:type="dxa" w:w="1234"/>
          </w:tcPr>
          <w:p>
            <w:r>
              <w:rPr>
                <w:rFonts w:ascii="Calibri" w:hAnsi="Calibri"/>
                <w:sz w:val="22"/>
              </w:rPr>
              <w:t>~54.5% (implied)</w:t>
            </w:r>
          </w:p>
        </w:tc>
        <w:tc>
          <w:tcPr>
            <w:tcW w:type="dxa" w:w="1234"/>
          </w:tcPr>
          <w:p>
            <w:r>
              <w:rPr>
                <w:rFonts w:ascii="Calibri" w:hAnsi="Calibri"/>
                <w:sz w:val="22"/>
              </w:rPr>
              <w:t>~−70 bps YoY</w:t>
            </w:r>
          </w:p>
        </w:tc>
        <w:tc>
          <w:tcPr>
            <w:tcW w:type="dxa" w:w="1234"/>
          </w:tcPr>
          <w:p>
            <w:r>
              <w:rPr>
                <w:rFonts w:ascii="Calibri" w:hAnsi="Calibri"/>
                <w:sz w:val="22"/>
              </w:rPr>
              <w:t>Sequential cost headwind from aluminum; pricing actions partially offsetting</w:t>
            </w:r>
          </w:p>
        </w:tc>
        <w:tc>
          <w:tcPr>
            <w:tcW w:type="dxa" w:w="1234"/>
          </w:tcPr>
          <w:p>
            <w:r>
              <w:rPr>
                <w:rFonts w:ascii="Calibri" w:hAnsi="Calibri"/>
                <w:sz w:val="22"/>
              </w:rPr>
              <w:t>N/A</w:t>
            </w:r>
          </w:p>
        </w:tc>
      </w:tr>
      <w:tr>
        <w:tc>
          <w:tcPr>
            <w:tcW w:type="dxa" w:w="1234"/>
          </w:tcPr>
          <w:p>
            <w:r>
              <w:rPr>
                <w:rFonts w:ascii="Calibri" w:hAnsi="Calibri"/>
                <w:sz w:val="22"/>
              </w:rPr>
              <w:t>Operating Income ($B)</w:t>
            </w:r>
          </w:p>
        </w:tc>
        <w:tc>
          <w:tcPr>
            <w:tcW w:type="dxa" w:w="1234"/>
          </w:tcPr>
          <w:p>
            <w:r>
              <w:rPr>
                <w:rFonts w:ascii="Calibri" w:hAnsi="Calibri"/>
                <w:sz w:val="22"/>
              </w:rPr>
              <w:t>$0.724B</w:t>
            </w:r>
          </w:p>
        </w:tc>
        <w:tc>
          <w:tcPr>
            <w:tcW w:type="dxa" w:w="1234"/>
          </w:tcPr>
          <w:p>
            <w:r>
              <w:rPr>
                <w:rFonts w:ascii="Calibri" w:hAnsi="Calibri"/>
                <w:sz w:val="22"/>
              </w:rPr>
              <w:t>$0.653B</w:t>
            </w:r>
          </w:p>
        </w:tc>
        <w:tc>
          <w:tcPr>
            <w:tcW w:type="dxa" w:w="1234"/>
          </w:tcPr>
          <w:p>
            <w:r>
              <w:rPr>
                <w:rFonts w:ascii="Calibri" w:hAnsi="Calibri"/>
                <w:sz w:val="22"/>
              </w:rPr>
              <w:t>$0.731B</w:t>
            </w:r>
          </w:p>
        </w:tc>
        <w:tc>
          <w:tcPr>
            <w:tcW w:type="dxa" w:w="1234"/>
          </w:tcPr>
          <w:p>
            <w:r>
              <w:rPr>
                <w:rFonts w:ascii="Calibri" w:hAnsi="Calibri"/>
                <w:sz w:val="22"/>
              </w:rPr>
              <w:t>+11.9%</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$0.572</w:t>
            </w:r>
          </w:p>
        </w:tc>
        <w:tc>
          <w:tcPr>
            <w:tcW w:type="dxa" w:w="1234"/>
          </w:tcPr>
          <w:p>
            <w:r>
              <w:rPr>
                <w:rFonts w:ascii="Calibri" w:hAnsi="Calibri"/>
                <w:sz w:val="22"/>
              </w:rPr>
              <w:t>$0.513</w:t>
            </w:r>
          </w:p>
        </w:tc>
        <w:tc>
          <w:tcPr>
            <w:tcW w:type="dxa" w:w="1234"/>
          </w:tcPr>
          <w:p>
            <w:r>
              <w:rPr>
                <w:rFonts w:ascii="Calibri" w:hAnsi="Calibri"/>
                <w:sz w:val="22"/>
              </w:rPr>
              <w:t>$0.581</w:t>
            </w:r>
          </w:p>
        </w:tc>
        <w:tc>
          <w:tcPr>
            <w:tcW w:type="dxa" w:w="1234"/>
          </w:tcPr>
          <w:p>
            <w:r>
              <w:rPr>
                <w:rFonts w:ascii="Calibri" w:hAnsi="Calibri"/>
                <w:sz w:val="22"/>
              </w:rPr>
              <w:t>+13.3%</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Case Volume (M cases)</w:t>
            </w:r>
          </w:p>
        </w:tc>
        <w:tc>
          <w:tcPr>
            <w:tcW w:type="dxa" w:w="1234"/>
          </w:tcPr>
          <w:p>
            <w:r>
              <w:rPr>
                <w:rFonts w:ascii="Calibri" w:hAnsi="Calibri"/>
                <w:sz w:val="22"/>
              </w:rPr>
              <w:t>274.5M</w:t>
            </w:r>
          </w:p>
        </w:tc>
        <w:tc>
          <w:tcPr>
            <w:tcW w:type="dxa" w:w="1234"/>
          </w:tcPr>
          <w:p>
            <w:r>
              <w:rPr>
                <w:rFonts w:ascii="Calibri" w:hAnsi="Calibri"/>
                <w:sz w:val="22"/>
              </w:rPr>
              <w:t>249.3M</w:t>
            </w:r>
          </w:p>
        </w:tc>
        <w:tc>
          <w:tcPr>
            <w:tcW w:type="dxa" w:w="1234"/>
          </w:tcPr>
          <w:p>
            <w:r>
              <w:rPr>
                <w:rFonts w:ascii="Calibri" w:hAnsi="Calibri"/>
                <w:sz w:val="22"/>
              </w:rPr>
              <w:t>281.6M</w:t>
            </w:r>
          </w:p>
        </w:tc>
        <w:tc>
          <w:tcPr>
            <w:tcW w:type="dxa" w:w="1234"/>
          </w:tcPr>
          <w:p>
            <w:r>
              <w:rPr>
                <w:rFonts w:ascii="Calibri" w:hAnsi="Calibri"/>
                <w:sz w:val="22"/>
              </w:rPr>
              <w:t>+12.9%</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Net Revenue — EMEA ($M)</w:t>
            </w:r>
          </w:p>
        </w:tc>
        <w:tc>
          <w:tcPr>
            <w:tcW w:type="dxa" w:w="1234"/>
          </w:tcPr>
          <w:p>
            <w:r>
              <w:rPr>
                <w:rFonts w:ascii="Calibri" w:hAnsi="Calibri"/>
                <w:sz w:val="22"/>
              </w:rPr>
              <w:t>$586.2M</w:t>
            </w:r>
          </w:p>
        </w:tc>
        <w:tc>
          <w:tcPr>
            <w:tcW w:type="dxa" w:w="1234"/>
          </w:tcPr>
          <w:p>
            <w:r>
              <w:rPr>
                <w:rFonts w:ascii="Calibri" w:hAnsi="Calibri"/>
                <w:sz w:val="22"/>
              </w:rPr>
              <w:t>$498.2M</w:t>
            </w:r>
          </w:p>
        </w:tc>
        <w:tc>
          <w:tcPr>
            <w:tcW w:type="dxa" w:w="1234"/>
          </w:tcPr>
          <w:p>
            <w:r>
              <w:rPr>
                <w:rFonts w:ascii="Calibri" w:hAnsi="Calibri"/>
                <w:sz w:val="22"/>
              </w:rPr>
              <w:t>$586.4M</w:t>
            </w:r>
          </w:p>
        </w:tc>
        <w:tc>
          <w:tcPr>
            <w:tcW w:type="dxa" w:w="1234"/>
          </w:tcPr>
          <w:p>
            <w:r>
              <w:rPr>
                <w:rFonts w:ascii="Calibri" w:hAnsi="Calibri"/>
                <w:sz w:val="22"/>
              </w:rPr>
              <w:t>+17.7%</w:t>
            </w:r>
          </w:p>
        </w:tc>
        <w:tc>
          <w:tcPr>
            <w:tcW w:type="dxa" w:w="1234"/>
          </w:tcPr>
          <w:p>
            <w:r>
              <w:rPr>
                <w:rFonts w:ascii="Calibri" w:hAnsi="Calibri"/>
                <w:sz w:val="22"/>
              </w:rPr>
              <w:t>No explicit guidance; strong category momentum cited</w:t>
            </w:r>
          </w:p>
        </w:tc>
        <w:tc>
          <w:tcPr>
            <w:tcW w:type="dxa" w:w="1234"/>
          </w:tcPr>
          <w:p>
            <w:r>
              <w:rPr>
                <w:rFonts w:ascii="Calibri" w:hAnsi="Calibri"/>
                <w:sz w:val="22"/>
              </w:rPr>
              <w:t>N/A</w:t>
            </w:r>
          </w:p>
        </w:tc>
      </w:tr>
      <w:tr>
        <w:tc>
          <w:tcPr>
            <w:tcW w:type="dxa" w:w="1234"/>
          </w:tcPr>
          <w:p>
            <w:r>
              <w:rPr>
                <w:rFonts w:ascii="Calibri" w:hAnsi="Calibri"/>
                <w:sz w:val="22"/>
              </w:rPr>
              <w:t>Net Revenue — US ($M)</w:t>
            </w:r>
          </w:p>
        </w:tc>
        <w:tc>
          <w:tcPr>
            <w:tcW w:type="dxa" w:w="1234"/>
          </w:tcPr>
          <w:p>
            <w:r>
              <w:rPr>
                <w:rFonts w:ascii="Calibri" w:hAnsi="Calibri"/>
                <w:sz w:val="22"/>
              </w:rPr>
              <w:t>$1,293.3M</w:t>
            </w:r>
          </w:p>
        </w:tc>
        <w:tc>
          <w:tcPr>
            <w:tcW w:type="dxa" w:w="1234"/>
          </w:tcPr>
          <w:p>
            <w:r>
              <w:rPr>
                <w:rFonts w:ascii="Calibri" w:hAnsi="Calibri"/>
                <w:sz w:val="22"/>
              </w:rPr>
              <w:t>$1,247.4M</w:t>
            </w:r>
          </w:p>
        </w:tc>
        <w:tc>
          <w:tcPr>
            <w:tcW w:type="dxa" w:w="1234"/>
          </w:tcPr>
          <w:p>
            <w:r>
              <w:rPr>
                <w:rFonts w:ascii="Calibri" w:hAnsi="Calibri"/>
                <w:sz w:val="22"/>
              </w:rPr>
              <w:t>$1,389.2M</w:t>
            </w:r>
          </w:p>
        </w:tc>
        <w:tc>
          <w:tcPr>
            <w:tcW w:type="dxa" w:w="1234"/>
          </w:tcPr>
          <w:p>
            <w:r>
              <w:rPr>
                <w:rFonts w:ascii="Calibri" w:hAnsi="Calibri"/>
                <w:sz w:val="22"/>
              </w:rPr>
              <w:t>+11.4%</w:t>
            </w:r>
          </w:p>
        </w:tc>
        <w:tc>
          <w:tcPr>
            <w:tcW w:type="dxa" w:w="1234"/>
          </w:tcPr>
          <w:p>
            <w:r>
              <w:rPr>
                <w:rFonts w:ascii="Calibri" w:hAnsi="Calibri"/>
                <w:sz w:val="22"/>
              </w:rPr>
              <w:t>No explicit guidance; pricing actions performing as expected</w:t>
            </w:r>
          </w:p>
        </w:tc>
        <w:tc>
          <w:tcPr>
            <w:tcW w:type="dxa" w:w="1234"/>
          </w:tcPr>
          <w:p>
            <w:r>
              <w:rPr>
                <w:rFonts w:ascii="Calibri" w:hAnsi="Calibri"/>
                <w:sz w:val="22"/>
              </w:rPr>
              <w:t>N/A</w:t>
            </w:r>
          </w:p>
        </w:tc>
      </w:tr>
      <w:tr>
        <w:tc>
          <w:tcPr>
            <w:tcW w:type="dxa" w:w="1234"/>
          </w:tcPr>
          <w:p>
            <w:r>
              <w:rPr>
                <w:rFonts w:ascii="Calibri" w:hAnsi="Calibri"/>
                <w:sz w:val="22"/>
              </w:rPr>
              <w:t>Net Revenue — Asia Pacific ($M)</w:t>
            </w:r>
          </w:p>
        </w:tc>
        <w:tc>
          <w:tcPr>
            <w:tcW w:type="dxa" w:w="1234"/>
          </w:tcPr>
          <w:p>
            <w:r>
              <w:rPr>
                <w:rFonts w:ascii="Calibri" w:hAnsi="Calibri"/>
                <w:sz w:val="22"/>
              </w:rPr>
              <w:t>$201.9M</w:t>
            </w:r>
          </w:p>
        </w:tc>
        <w:tc>
          <w:tcPr>
            <w:tcW w:type="dxa" w:w="1234"/>
          </w:tcPr>
          <w:p>
            <w:r>
              <w:rPr>
                <w:rFonts w:ascii="Calibri" w:hAnsi="Calibri"/>
                <w:sz w:val="22"/>
              </w:rPr>
              <w:t>$161.7M</w:t>
            </w:r>
          </w:p>
        </w:tc>
        <w:tc>
          <w:tcPr>
            <w:tcW w:type="dxa" w:w="1234"/>
          </w:tcPr>
          <w:p>
            <w:r>
              <w:rPr>
                <w:rFonts w:ascii="Calibri" w:hAnsi="Calibri"/>
                <w:sz w:val="22"/>
              </w:rPr>
              <w:t>$200.5M</w:t>
            </w:r>
          </w:p>
        </w:tc>
        <w:tc>
          <w:tcPr>
            <w:tcW w:type="dxa" w:w="1234"/>
          </w:tcPr>
          <w:p>
            <w:r>
              <w:rPr>
                <w:rFonts w:ascii="Calibri" w:hAnsi="Calibri"/>
                <w:sz w:val="22"/>
              </w:rPr>
              <w:t>+24.0%</w:t>
            </w:r>
          </w:p>
        </w:tc>
        <w:tc>
          <w:tcPr>
            <w:tcW w:type="dxa" w:w="1234"/>
          </w:tcPr>
          <w:p>
            <w:r>
              <w:rPr>
                <w:rFonts w:ascii="Calibri" w:hAnsi="Calibri"/>
                <w:sz w:val="22"/>
              </w:rPr>
              <w:t>No explicit guidance; China/India growth highlighted</w:t>
            </w:r>
          </w:p>
        </w:tc>
        <w:tc>
          <w:tcPr>
            <w:tcW w:type="dxa" w:w="1234"/>
          </w:tcPr>
          <w:p>
            <w:r>
              <w:rPr>
                <w:rFonts w:ascii="Calibri" w:hAnsi="Calibri"/>
                <w:sz w:val="22"/>
              </w:rPr>
              <w:t>N/A</w:t>
            </w:r>
          </w:p>
        </w:tc>
      </w:tr>
    </w:tbl>
    <w:p>
      <w:r>
        <w:rPr>
          <w:rFonts w:ascii="Calibri" w:hAnsi="Calibri"/>
          <w:color w:val="525866"/>
          <w:sz w:val="22"/>
        </w:rPr>
        <w:t>Source: Visible Alpha consensus and actuals data. All figures are pre-split (2-for-1 stock split effective August 11, 2026). Gross margin % and implied consensus gross margin are derived from Visible Alpha gross profit and net revenue consensus figures.</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$2.353B</w:t>
            </w:r>
          </w:p>
        </w:tc>
        <w:tc>
          <w:tcPr>
            <w:tcW w:type="dxa" w:w="1728"/>
          </w:tcPr>
          <w:p>
            <w:r>
              <w:rPr>
                <w:rFonts w:ascii="Calibri" w:hAnsi="Calibri"/>
                <w:sz w:val="22"/>
              </w:rPr>
              <w:t>$2.152B</w:t>
            </w:r>
          </w:p>
        </w:tc>
        <w:tc>
          <w:tcPr>
            <w:tcW w:type="dxa" w:w="1728"/>
          </w:tcPr>
          <w:p>
            <w:r>
              <w:rPr>
                <w:rFonts w:ascii="Calibri" w:hAnsi="Calibri"/>
                <w:b/>
                <w:color w:val="30A46C"/>
                <w:sz w:val="22"/>
              </w:rPr>
              <w:t>+9.3%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$2.131B</w:t>
            </w:r>
          </w:p>
        </w:tc>
        <w:tc>
          <w:tcPr>
            <w:tcW w:type="dxa" w:w="1728"/>
          </w:tcPr>
          <w:p>
            <w:r>
              <w:rPr>
                <w:rFonts w:ascii="Calibri" w:hAnsi="Calibri"/>
                <w:sz w:val="22"/>
              </w:rPr>
              <w:t>$2.038B</w:t>
            </w:r>
          </w:p>
        </w:tc>
        <w:tc>
          <w:tcPr>
            <w:tcW w:type="dxa" w:w="1728"/>
          </w:tcPr>
          <w:p>
            <w:r>
              <w:rPr>
                <w:rFonts w:ascii="Calibri" w:hAnsi="Calibri"/>
                <w:b/>
                <w:color w:val="30A46C"/>
                <w:sz w:val="22"/>
              </w:rPr>
              <w:t>+4.6%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$2.197B</w:t>
            </w:r>
          </w:p>
        </w:tc>
        <w:tc>
          <w:tcPr>
            <w:tcW w:type="dxa" w:w="1728"/>
          </w:tcPr>
          <w:p>
            <w:r>
              <w:rPr>
                <w:rFonts w:ascii="Calibri" w:hAnsi="Calibri"/>
                <w:sz w:val="22"/>
              </w:rPr>
              <w:t>$2.106B</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$2.112B</w:t>
            </w:r>
          </w:p>
        </w:tc>
        <w:tc>
          <w:tcPr>
            <w:tcW w:type="dxa" w:w="1728"/>
          </w:tcPr>
          <w:p>
            <w:r>
              <w:rPr>
                <w:rFonts w:ascii="Calibri" w:hAnsi="Calibri"/>
                <w:sz w:val="22"/>
              </w:rPr>
              <w:t>$2.082B</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$1.855B</w:t>
            </w:r>
          </w:p>
        </w:tc>
        <w:tc>
          <w:tcPr>
            <w:tcW w:type="dxa" w:w="1728"/>
          </w:tcPr>
          <w:p>
            <w:r>
              <w:rPr>
                <w:rFonts w:ascii="Calibri" w:hAnsi="Calibri"/>
                <w:sz w:val="22"/>
              </w:rPr>
              <w:t>$1.979B</w:t>
            </w:r>
          </w:p>
        </w:tc>
        <w:tc>
          <w:tcPr>
            <w:tcW w:type="dxa" w:w="1728"/>
          </w:tcPr>
          <w:p>
            <w:r>
              <w:rPr>
                <w:rFonts w:ascii="Calibri" w:hAnsi="Calibri"/>
                <w:b/>
                <w:color w:val="E5484D"/>
                <w:sz w:val="22"/>
              </w:rPr>
              <w:t>−6.3%</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$1.812B</w:t>
            </w:r>
          </w:p>
        </w:tc>
        <w:tc>
          <w:tcPr>
            <w:tcW w:type="dxa" w:w="1728"/>
          </w:tcPr>
          <w:p>
            <w:r>
              <w:rPr>
                <w:rFonts w:ascii="Calibri" w:hAnsi="Calibri"/>
                <w:sz w:val="22"/>
              </w:rPr>
              <w:t>$1.800B</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$1.881B</w:t>
            </w:r>
          </w:p>
        </w:tc>
        <w:tc>
          <w:tcPr>
            <w:tcW w:type="dxa" w:w="1728"/>
          </w:tcPr>
          <w:p>
            <w:r>
              <w:rPr>
                <w:rFonts w:ascii="Calibri" w:hAnsi="Calibri"/>
                <w:sz w:val="22"/>
              </w:rPr>
              <w:t>$1.913B</w:t>
            </w:r>
          </w:p>
        </w:tc>
        <w:tc>
          <w:tcPr>
            <w:tcW w:type="dxa" w:w="1728"/>
          </w:tcPr>
          <w:p>
            <w:r>
              <w:rPr>
                <w:rFonts w:ascii="Calibri" w:hAnsi="Calibri"/>
                <w:b/>
                <w:color w:val="E5484D"/>
                <w:sz w:val="22"/>
              </w:rPr>
              <w:t>−1.7%</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$1.901B</w:t>
            </w:r>
          </w:p>
        </w:tc>
        <w:tc>
          <w:tcPr>
            <w:tcW w:type="dxa" w:w="1728"/>
          </w:tcPr>
          <w:p>
            <w:r>
              <w:rPr>
                <w:rFonts w:ascii="Calibri" w:hAnsi="Calibri"/>
                <w:sz w:val="22"/>
              </w:rPr>
              <w:t>$2.020B</w:t>
            </w:r>
          </w:p>
        </w:tc>
        <w:tc>
          <w:tcPr>
            <w:tcW w:type="dxa" w:w="1728"/>
          </w:tcPr>
          <w:p>
            <w:r>
              <w:rPr>
                <w:rFonts w:ascii="Calibri" w:hAnsi="Calibri"/>
                <w:b/>
                <w:color w:val="E5484D"/>
                <w:sz w:val="22"/>
              </w:rPr>
              <w:t>−5.9%</w:t>
            </w:r>
          </w:p>
        </w:tc>
        <w:tc>
          <w:tcPr>
            <w:tcW w:type="dxa" w:w="1728"/>
          </w:tcPr>
          <w:p>
            <w:r>
              <w:rPr>
                <w:rFonts w:ascii="Calibri" w:hAnsi="Calibri"/>
                <w:sz w:val="22"/>
              </w:rPr>
              <w:t>Miss</w:t>
            </w:r>
          </w:p>
        </w:tc>
      </w:tr>
    </w:tbl>
    <w:p>
      <w:pPr>
        <w:pStyle w:val="Heading4"/>
      </w:pPr>
      <w:r>
        <w:rPr>
          <w:rFonts w:ascii="Calibri" w:hAnsi="Calibri"/>
          <w:b/>
          <w:color w:val="3B4259"/>
          <w:sz w:val="22"/>
        </w:rPr>
        <w:t>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$0.572</w:t>
            </w:r>
          </w:p>
        </w:tc>
        <w:tc>
          <w:tcPr>
            <w:tcW w:type="dxa" w:w="1728"/>
          </w:tcPr>
          <w:p>
            <w:r>
              <w:rPr>
                <w:rFonts w:ascii="Calibri" w:hAnsi="Calibri"/>
                <w:sz w:val="22"/>
              </w:rPr>
              <w:t>$0.519</w:t>
            </w:r>
          </w:p>
        </w:tc>
        <w:tc>
          <w:tcPr>
            <w:tcW w:type="dxa" w:w="1728"/>
          </w:tcPr>
          <w:p>
            <w:r>
              <w:rPr>
                <w:rFonts w:ascii="Calibri" w:hAnsi="Calibri"/>
                <w:b/>
                <w:color w:val="30A46C"/>
                <w:sz w:val="22"/>
              </w:rPr>
              <w:t>+10.2%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$0.495</w:t>
            </w:r>
          </w:p>
        </w:tc>
        <w:tc>
          <w:tcPr>
            <w:tcW w:type="dxa" w:w="1728"/>
          </w:tcPr>
          <w:p>
            <w:r>
              <w:rPr>
                <w:rFonts w:ascii="Calibri" w:hAnsi="Calibri"/>
                <w:sz w:val="22"/>
              </w:rPr>
              <w:t>$0.478</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$0.542</w:t>
            </w:r>
          </w:p>
        </w:tc>
        <w:tc>
          <w:tcPr>
            <w:tcW w:type="dxa" w:w="1728"/>
          </w:tcPr>
          <w:p>
            <w:r>
              <w:rPr>
                <w:rFonts w:ascii="Calibri" w:hAnsi="Calibri"/>
                <w:sz w:val="22"/>
              </w:rPr>
              <w:t>$0.480</w:t>
            </w:r>
          </w:p>
        </w:tc>
        <w:tc>
          <w:tcPr>
            <w:tcW w:type="dxa" w:w="1728"/>
          </w:tcPr>
          <w:p>
            <w:r>
              <w:rPr>
                <w:rFonts w:ascii="Calibri" w:hAnsi="Calibri"/>
                <w:b/>
                <w:color w:val="30A46C"/>
                <w:sz w:val="22"/>
              </w:rPr>
              <w:t>+12.9%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$0.513</w:t>
            </w:r>
          </w:p>
        </w:tc>
        <w:tc>
          <w:tcPr>
            <w:tcW w:type="dxa" w:w="1728"/>
          </w:tcPr>
          <w:p>
            <w:r>
              <w:rPr>
                <w:rFonts w:ascii="Calibri" w:hAnsi="Calibri"/>
                <w:sz w:val="22"/>
              </w:rPr>
              <w:t>$0.479</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$0.451</w:t>
            </w:r>
          </w:p>
        </w:tc>
        <w:tc>
          <w:tcPr>
            <w:tcW w:type="dxa" w:w="1728"/>
          </w:tcPr>
          <w:p>
            <w:r>
              <w:rPr>
                <w:rFonts w:ascii="Calibri" w:hAnsi="Calibri"/>
                <w:sz w:val="22"/>
              </w:rPr>
              <w:t>$0.461</w:t>
            </w:r>
          </w:p>
        </w:tc>
        <w:tc>
          <w:tcPr>
            <w:tcW w:type="dxa" w:w="1728"/>
          </w:tcPr>
          <w:p>
            <w:r>
              <w:rPr>
                <w:rFonts w:ascii="Calibri" w:hAnsi="Calibri"/>
                <w:b/>
                <w:color w:val="E5484D"/>
                <w:sz w:val="22"/>
              </w:rPr>
              <w:t>−2.2%</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$0.383</w:t>
            </w:r>
          </w:p>
        </w:tc>
        <w:tc>
          <w:tcPr>
            <w:tcW w:type="dxa" w:w="1728"/>
          </w:tcPr>
          <w:p>
            <w:r>
              <w:rPr>
                <w:rFonts w:ascii="Calibri" w:hAnsi="Calibri"/>
                <w:sz w:val="22"/>
              </w:rPr>
              <w:t>$0.409</w:t>
            </w:r>
          </w:p>
        </w:tc>
        <w:tc>
          <w:tcPr>
            <w:tcW w:type="dxa" w:w="1728"/>
          </w:tcPr>
          <w:p>
            <w:r>
              <w:rPr>
                <w:rFonts w:ascii="Calibri" w:hAnsi="Calibri"/>
                <w:b/>
                <w:color w:val="E5484D"/>
                <w:sz w:val="22"/>
              </w:rPr>
              <w:t>−6.4%</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$0.399</w:t>
            </w:r>
          </w:p>
        </w:tc>
        <w:tc>
          <w:tcPr>
            <w:tcW w:type="dxa" w:w="1728"/>
          </w:tcPr>
          <w:p>
            <w:r>
              <w:rPr>
                <w:rFonts w:ascii="Calibri" w:hAnsi="Calibri"/>
                <w:sz w:val="22"/>
              </w:rPr>
              <w:t>$0.426</w:t>
            </w:r>
          </w:p>
        </w:tc>
        <w:tc>
          <w:tcPr>
            <w:tcW w:type="dxa" w:w="1728"/>
          </w:tcPr>
          <w:p>
            <w:r>
              <w:rPr>
                <w:rFonts w:ascii="Calibri" w:hAnsi="Calibri"/>
                <w:b/>
                <w:color w:val="E5484D"/>
                <w:sz w:val="22"/>
              </w:rPr>
              <w:t>−6.3%</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$0.410</w:t>
            </w:r>
          </w:p>
        </w:tc>
        <w:tc>
          <w:tcPr>
            <w:tcW w:type="dxa" w:w="1728"/>
          </w:tcPr>
          <w:p>
            <w:r>
              <w:rPr>
                <w:rFonts w:ascii="Calibri" w:hAnsi="Calibri"/>
                <w:sz w:val="22"/>
              </w:rPr>
              <w:t>$0.452</w:t>
            </w:r>
          </w:p>
        </w:tc>
        <w:tc>
          <w:tcPr>
            <w:tcW w:type="dxa" w:w="1728"/>
          </w:tcPr>
          <w:p>
            <w:r>
              <w:rPr>
                <w:rFonts w:ascii="Calibri" w:hAnsi="Calibri"/>
                <w:b/>
                <w:color w:val="E5484D"/>
                <w:sz w:val="22"/>
              </w:rPr>
              <w:t>−9.3%</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MNST has beaten revenue consensus in 5 of the last 8 quarters and EPS consensus in 5 of the last 8 quarters, with the most recent 4 quarters (Q2 2025 through Q1 2026) showing a clean sweep of beats on both metrics — a sharp reversal from the miss-heavy 2024 period driven by the November 2025 price increase and accelerating international growth.</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tone has remained confident since the Q1 call; no formal guidance revisions have been issued, but the </w:t>
      </w:r>
      <w:r>
        <w:rPr>
          <w:rFonts w:ascii="Calibri" w:hAnsi="Calibri"/>
          <w:b/>
          <w:color w:val="525866"/>
          <w:sz w:val="22"/>
        </w:rPr>
        <w:t>$500M share repurchase authorization (May 15)</w:t>
      </w:r>
      <w:r>
        <w:rPr>
          <w:rFonts w:ascii="Calibri" w:hAnsi="Calibri"/>
          <w:color w:val="525866"/>
          <w:sz w:val="22"/>
        </w:rPr>
        <w:t xml:space="preserve"> and the </w:t>
      </w:r>
      <w:r>
        <w:rPr>
          <w:rFonts w:ascii="Calibri" w:hAnsi="Calibri"/>
          <w:b/>
          <w:color w:val="525866"/>
          <w:sz w:val="22"/>
        </w:rPr>
        <w:t>2-for-1 stock split announcement (July 8)</w:t>
      </w:r>
      <w:r>
        <w:rPr>
          <w:rFonts w:ascii="Calibri" w:hAnsi="Calibri"/>
          <w:color w:val="525866"/>
          <w:sz w:val="22"/>
        </w:rPr>
        <w:t xml:space="preserve"> signal strong management conviction in the stock’s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Revenue (Q2 2026)</w:t>
            </w:r>
          </w:p>
        </w:tc>
        <w:tc>
          <w:tcPr>
            <w:tcW w:type="dxa" w:w="1728"/>
          </w:tcPr>
          <w:p>
            <w:r>
              <w:rPr>
                <w:rFonts w:ascii="Calibri" w:hAnsi="Calibri"/>
                <w:sz w:val="22"/>
              </w:rPr>
              <w:t>No formal guidance; April 2026 sales +24.4% YoY (non-FX adjusted) disclosed as early read</w:t>
            </w:r>
          </w:p>
        </w:tc>
        <w:tc>
          <w:tcPr>
            <w:tcW w:type="dxa" w:w="1728"/>
          </w:tcPr>
          <w:p>
            <w:r>
              <w:rPr>
                <w:rFonts w:ascii="Calibri" w:hAnsi="Calibri"/>
                <w:sz w:val="22"/>
              </w:rPr>
              <w:t>—</w:t>
            </w:r>
          </w:p>
        </w:tc>
        <w:tc>
          <w:tcPr>
            <w:tcW w:type="dxa" w:w="1728"/>
          </w:tcPr>
          <w:p>
            <w:r>
              <w:rPr>
                <w:rFonts w:ascii="Calibri" w:hAnsi="Calibri"/>
                <w:sz w:val="22"/>
              </w:rPr>
              <w:t>$2.437B</w:t>
            </w:r>
          </w:p>
        </w:tc>
        <w:tc>
          <w:tcPr>
            <w:tcW w:type="dxa" w:w="1728"/>
          </w:tcPr>
          <w:p>
            <w:r>
              <w:rPr>
                <w:rFonts w:ascii="Calibri" w:hAnsi="Calibri"/>
                <w:sz w:val="22"/>
              </w:rPr>
              <w:t>April data point is constructive; management cautioned against extrapolating single-month data</w:t>
            </w:r>
          </w:p>
        </w:tc>
      </w:tr>
      <w:tr>
        <w:tc>
          <w:tcPr>
            <w:tcW w:type="dxa" w:w="1728"/>
          </w:tcPr>
          <w:p>
            <w:r>
              <w:rPr>
                <w:rFonts w:ascii="Calibri" w:hAnsi="Calibri"/>
                <w:sz w:val="22"/>
              </w:rPr>
              <w:t>Gross Margin</w:t>
            </w:r>
          </w:p>
        </w:tc>
        <w:tc>
          <w:tcPr>
            <w:tcW w:type="dxa" w:w="1728"/>
          </w:tcPr>
          <w:p>
            <w:r>
              <w:rPr>
                <w:rFonts w:ascii="Calibri" w:hAnsi="Calibri"/>
                <w:sz w:val="22"/>
              </w:rPr>
              <w:t>Modest sequential cost increase expected through at least year-end 2026 vs. Q1 2026 (55.0%); aluminum headwind ~1% of margin in Q1</w:t>
            </w:r>
          </w:p>
        </w:tc>
        <w:tc>
          <w:tcPr>
            <w:tcW w:type="dxa" w:w="1728"/>
          </w:tcPr>
          <w:p>
            <w:r>
              <w:rPr>
                <w:rFonts w:ascii="Calibri" w:hAnsi="Calibri"/>
                <w:sz w:val="22"/>
              </w:rPr>
              <w:t>—</w:t>
            </w:r>
          </w:p>
        </w:tc>
        <w:tc>
          <w:tcPr>
            <w:tcW w:type="dxa" w:w="1728"/>
          </w:tcPr>
          <w:p>
            <w:r>
              <w:rPr>
                <w:rFonts w:ascii="Calibri" w:hAnsi="Calibri"/>
                <w:sz w:val="22"/>
              </w:rPr>
              <w:t>~54.5% (implied from consensus gross profit / revenue)</w:t>
            </w:r>
          </w:p>
        </w:tc>
        <w:tc>
          <w:tcPr>
            <w:tcW w:type="dxa" w:w="1728"/>
          </w:tcPr>
          <w:p>
            <w:r>
              <w:rPr>
                <w:rFonts w:ascii="Calibri" w:hAnsi="Calibri"/>
                <w:sz w:val="22"/>
              </w:rPr>
              <w:t>Reiterated at Deutsche Bank Consumer Conference (June 4, 2026); pricing actions partially offsetting; management frames dollar profit growth as more important than margin %</w:t>
            </w:r>
          </w:p>
        </w:tc>
      </w:tr>
      <w:tr>
        <w:tc>
          <w:tcPr>
            <w:tcW w:type="dxa" w:w="1728"/>
          </w:tcPr>
          <w:p>
            <w:r>
              <w:rPr>
                <w:rFonts w:ascii="Calibri" w:hAnsi="Calibri"/>
                <w:sz w:val="22"/>
              </w:rPr>
              <w:t>Aluminum / Tariff Impact</w:t>
            </w:r>
          </w:p>
        </w:tc>
        <w:tc>
          <w:tcPr>
            <w:tcW w:type="dxa" w:w="1728"/>
          </w:tcPr>
          <w:p>
            <w:r>
              <w:rPr>
                <w:rFonts w:ascii="Calibri" w:hAnsi="Calibri"/>
                <w:sz w:val="22"/>
              </w:rPr>
              <w:t>Tariffs not expected to have material impact on operating results; Midwest premium driving modest sequential cost increases; active hedging program in place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Deutsche Bank Consumer Conference (June 4, 2026); no change in tone</w:t>
            </w:r>
          </w:p>
        </w:tc>
      </w:tr>
      <w:tr>
        <w:tc>
          <w:tcPr>
            <w:tcW w:type="dxa" w:w="1728"/>
          </w:tcPr>
          <w:p>
            <w:r>
              <w:rPr>
                <w:rFonts w:ascii="Calibri" w:hAnsi="Calibri"/>
                <w:sz w:val="22"/>
              </w:rPr>
              <w:t>Pricing</w:t>
            </w:r>
          </w:p>
        </w:tc>
        <w:tc>
          <w:tcPr>
            <w:tcW w:type="dxa" w:w="1728"/>
          </w:tcPr>
          <w:p>
            <w:r>
              <w:rPr>
                <w:rFonts w:ascii="Calibri" w:hAnsi="Calibri"/>
                <w:sz w:val="22"/>
              </w:rPr>
              <w:t>November 2025 price increase performing as expected; continuously reviewing additional pricing opportunities domestically and internationally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at Deutsche Bank Consumer Conference (June 4, 2026); “modest inflationary pricing is working”</w:t>
            </w:r>
          </w:p>
        </w:tc>
      </w:tr>
      <w:tr>
        <w:tc>
          <w:tcPr>
            <w:tcW w:type="dxa" w:w="1728"/>
          </w:tcPr>
          <w:p>
            <w:r>
              <w:rPr>
                <w:rFonts w:ascii="Calibri" w:hAnsi="Calibri"/>
                <w:sz w:val="22"/>
              </w:rPr>
              <w:t>Share Repurchase</w:t>
            </w:r>
          </w:p>
        </w:tc>
        <w:tc>
          <w:tcPr>
            <w:tcW w:type="dxa" w:w="1728"/>
          </w:tcPr>
          <w:p>
            <w:r>
              <w:rPr>
                <w:rFonts w:ascii="Calibri" w:hAnsi="Calibri"/>
                <w:sz w:val="22"/>
              </w:rPr>
              <w:t>~$400M remaining under prior authorization as of May 14, 2026</w:t>
            </w:r>
          </w:p>
        </w:tc>
        <w:tc>
          <w:tcPr>
            <w:tcW w:type="dxa" w:w="1728"/>
          </w:tcPr>
          <w:p>
            <w:r>
              <w:rPr>
                <w:rFonts w:ascii="Calibri" w:hAnsi="Calibri"/>
                <w:sz w:val="22"/>
              </w:rPr>
              <w:t>↑ New $500M buyback authorized May 15, 2026 (8-K)</w:t>
            </w:r>
          </w:p>
        </w:tc>
        <w:tc>
          <w:tcPr>
            <w:tcW w:type="dxa" w:w="1728"/>
          </w:tcPr>
          <w:p>
            <w:r>
              <w:rPr>
                <w:rFonts w:ascii="Calibri" w:hAnsi="Calibri"/>
                <w:sz w:val="22"/>
              </w:rPr>
              <w:t>N/A</w:t>
            </w:r>
          </w:p>
        </w:tc>
        <w:tc>
          <w:tcPr>
            <w:tcW w:type="dxa" w:w="1728"/>
          </w:tcPr>
          <w:p>
            <w:r>
              <w:rPr>
                <w:rFonts w:ascii="Calibri" w:hAnsi="Calibri"/>
                <w:sz w:val="22"/>
              </w:rPr>
              <w:t>↑ Raised via 8-K May 15, 2026; signals management confidence in cash generation and stock valuation</w:t>
            </w:r>
          </w:p>
        </w:tc>
      </w:tr>
      <w:tr>
        <w:tc>
          <w:tcPr>
            <w:tcW w:type="dxa" w:w="1728"/>
          </w:tcPr>
          <w:p>
            <w:r>
              <w:rPr>
                <w:rFonts w:ascii="Calibri" w:hAnsi="Calibri"/>
                <w:sz w:val="22"/>
              </w:rPr>
              <w:t>Stock Split</w:t>
            </w:r>
          </w:p>
        </w:tc>
        <w:tc>
          <w:tcPr>
            <w:tcW w:type="dxa" w:w="1728"/>
          </w:tcPr>
          <w:p>
            <w:r>
              <w:rPr>
                <w:rFonts w:ascii="Calibri" w:hAnsi="Calibri"/>
                <w:sz w:val="22"/>
              </w:rPr>
              <w:t>N/A (not discussed on Q1 call)</w:t>
            </w:r>
          </w:p>
        </w:tc>
        <w:tc>
          <w:tcPr>
            <w:tcW w:type="dxa" w:w="1728"/>
          </w:tcPr>
          <w:p>
            <w:r>
              <w:rPr>
                <w:rFonts w:ascii="Calibri" w:hAnsi="Calibri"/>
                <w:sz w:val="22"/>
              </w:rPr>
              <w:t>↑ 2-for-1 stock split announced July 8, 2026 (8-K); record date July 24; distribution after close August 10; trading at split-adjusted price from August 11</w:t>
            </w:r>
          </w:p>
        </w:tc>
        <w:tc>
          <w:tcPr>
            <w:tcW w:type="dxa" w:w="1728"/>
          </w:tcPr>
          <w:p>
            <w:r>
              <w:rPr>
                <w:rFonts w:ascii="Calibri" w:hAnsi="Calibri"/>
                <w:sz w:val="22"/>
              </w:rPr>
              <w:t>N/A</w:t>
            </w:r>
          </w:p>
        </w:tc>
        <w:tc>
          <w:tcPr>
            <w:tcW w:type="dxa" w:w="1728"/>
          </w:tcPr>
          <w:p>
            <w:r>
              <w:rPr>
                <w:rFonts w:ascii="Calibri" w:hAnsi="Calibri"/>
                <w:sz w:val="22"/>
              </w:rPr>
              <w:t>↑ New development; signals management confidence; improves stock accessibility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modestly higher since the Q1 print across both Q2 2026 and FY 2026, with revenue and EPS tracking slightly above the post-Q1 baseline — the Street is gradually upgrading its view, but the gap is small and does not represent a stretched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w:t>
            </w:r>
          </w:p>
        </w:tc>
        <w:tc>
          <w:tcPr>
            <w:tcW w:type="dxa" w:w="1080"/>
          </w:tcPr>
          <w:p>
            <w:r>
              <w:rPr>
                <w:rFonts w:ascii="Calibri" w:hAnsi="Calibri"/>
                <w:sz w:val="22"/>
              </w:rPr>
              <w:t>$2.427B</w:t>
            </w:r>
          </w:p>
        </w:tc>
        <w:tc>
          <w:tcPr>
            <w:tcW w:type="dxa" w:w="1080"/>
          </w:tcPr>
          <w:p>
            <w:r>
              <w:rPr>
                <w:rFonts w:ascii="Calibri" w:hAnsi="Calibri"/>
                <w:sz w:val="22"/>
              </w:rPr>
              <w:t>$2.437B</w:t>
            </w:r>
          </w:p>
        </w:tc>
        <w:tc>
          <w:tcPr>
            <w:tcW w:type="dxa" w:w="1080"/>
          </w:tcPr>
          <w:p>
            <w:r>
              <w:rPr>
                <w:rFonts w:ascii="Calibri" w:hAnsi="Calibri"/>
                <w:sz w:val="22"/>
              </w:rPr>
              <w:t>+0.4%</w:t>
            </w:r>
          </w:p>
        </w:tc>
        <w:tc>
          <w:tcPr>
            <w:tcW w:type="dxa" w:w="1080"/>
          </w:tcPr>
          <w:p>
            <w:r>
              <w:rPr>
                <w:rFonts w:ascii="Calibri" w:hAnsi="Calibri"/>
                <w:sz w:val="22"/>
              </w:rPr>
              <w:t>No formal guidance; April +24.4% YoY (non-FX)</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 2026</w:t>
            </w:r>
          </w:p>
        </w:tc>
        <w:tc>
          <w:tcPr>
            <w:tcW w:type="dxa" w:w="1080"/>
          </w:tcPr>
          <w:p>
            <w:r>
              <w:rPr>
                <w:rFonts w:ascii="Calibri" w:hAnsi="Calibri"/>
                <w:sz w:val="22"/>
              </w:rPr>
              <w:t>$9.582B</w:t>
            </w:r>
          </w:p>
        </w:tc>
        <w:tc>
          <w:tcPr>
            <w:tcW w:type="dxa" w:w="1080"/>
          </w:tcPr>
          <w:p>
            <w:r>
              <w:rPr>
                <w:rFonts w:ascii="Calibri" w:hAnsi="Calibri"/>
                <w:sz w:val="22"/>
              </w:rPr>
              <w:t>$9.589B</w:t>
            </w:r>
          </w:p>
        </w:tc>
        <w:tc>
          <w:tcPr>
            <w:tcW w:type="dxa" w:w="1080"/>
          </w:tcPr>
          <w:p>
            <w:r>
              <w:rPr>
                <w:rFonts w:ascii="Calibri" w:hAnsi="Calibri"/>
                <w:sz w:val="22"/>
              </w:rPr>
              <w:t>+0.1%</w:t>
            </w:r>
          </w:p>
        </w:tc>
        <w:tc>
          <w:tcPr>
            <w:tcW w:type="dxa" w:w="1080"/>
          </w:tcPr>
          <w:p>
            <w:r>
              <w:rPr>
                <w:rFonts w:ascii="Calibri" w:hAnsi="Calibri"/>
                <w:sz w:val="22"/>
              </w:rPr>
              <w:t>No formal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Q2 2026</w:t>
            </w:r>
          </w:p>
        </w:tc>
        <w:tc>
          <w:tcPr>
            <w:tcW w:type="dxa" w:w="1080"/>
          </w:tcPr>
          <w:p>
            <w:r>
              <w:rPr>
                <w:rFonts w:ascii="Calibri" w:hAnsi="Calibri"/>
                <w:sz w:val="22"/>
              </w:rPr>
              <w:t>$0.575</w:t>
            </w:r>
          </w:p>
        </w:tc>
        <w:tc>
          <w:tcPr>
            <w:tcW w:type="dxa" w:w="1080"/>
          </w:tcPr>
          <w:p>
            <w:r>
              <w:rPr>
                <w:rFonts w:ascii="Calibri" w:hAnsi="Calibri"/>
                <w:sz w:val="22"/>
              </w:rPr>
              <w:t>$0.581</w:t>
            </w:r>
          </w:p>
        </w:tc>
        <w:tc>
          <w:tcPr>
            <w:tcW w:type="dxa" w:w="1080"/>
          </w:tcPr>
          <w:p>
            <w:r>
              <w:rPr>
                <w:rFonts w:ascii="Calibri" w:hAnsi="Calibri"/>
                <w:sz w:val="22"/>
              </w:rPr>
              <w:t>+1.0%</w:t>
            </w:r>
          </w:p>
        </w:tc>
        <w:tc>
          <w:tcPr>
            <w:tcW w:type="dxa" w:w="1080"/>
          </w:tcPr>
          <w:p>
            <w:r>
              <w:rPr>
                <w:rFonts w:ascii="Calibri" w:hAnsi="Calibri"/>
                <w:sz w:val="22"/>
              </w:rPr>
              <w:t>No formal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 2026</w:t>
            </w:r>
          </w:p>
        </w:tc>
        <w:tc>
          <w:tcPr>
            <w:tcW w:type="dxa" w:w="1080"/>
          </w:tcPr>
          <w:p>
            <w:r>
              <w:rPr>
                <w:rFonts w:ascii="Calibri" w:hAnsi="Calibri"/>
                <w:sz w:val="22"/>
              </w:rPr>
              <w:t>$2.286B</w:t>
            </w:r>
          </w:p>
        </w:tc>
        <w:tc>
          <w:tcPr>
            <w:tcW w:type="dxa" w:w="1080"/>
          </w:tcPr>
          <w:p>
            <w:r>
              <w:rPr>
                <w:rFonts w:ascii="Calibri" w:hAnsi="Calibri"/>
                <w:sz w:val="22"/>
              </w:rPr>
              <w:t>$2.296</w:t>
            </w:r>
          </w:p>
        </w:tc>
        <w:tc>
          <w:tcPr>
            <w:tcW w:type="dxa" w:w="1080"/>
          </w:tcPr>
          <w:p>
            <w:r>
              <w:rPr>
                <w:rFonts w:ascii="Calibri" w:hAnsi="Calibri"/>
                <w:sz w:val="22"/>
              </w:rPr>
              <w:t>+0.4%</w:t>
            </w:r>
          </w:p>
        </w:tc>
        <w:tc>
          <w:tcPr>
            <w:tcW w:type="dxa" w:w="1080"/>
          </w:tcPr>
          <w:p>
            <w:r>
              <w:rPr>
                <w:rFonts w:ascii="Calibri" w:hAnsi="Calibri"/>
                <w:sz w:val="22"/>
              </w:rPr>
              <w:t>No formal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Profit — Q2 2026</w:t>
            </w:r>
          </w:p>
        </w:tc>
        <w:tc>
          <w:tcPr>
            <w:tcW w:type="dxa" w:w="1080"/>
          </w:tcPr>
          <w:p>
            <w:r>
              <w:rPr>
                <w:rFonts w:ascii="Calibri" w:hAnsi="Calibri"/>
                <w:sz w:val="22"/>
              </w:rPr>
              <w:t>$1.323B</w:t>
            </w:r>
          </w:p>
        </w:tc>
        <w:tc>
          <w:tcPr>
            <w:tcW w:type="dxa" w:w="1080"/>
          </w:tcPr>
          <w:p>
            <w:r>
              <w:rPr>
                <w:rFonts w:ascii="Calibri" w:hAnsi="Calibri"/>
                <w:sz w:val="22"/>
              </w:rPr>
              <w:t>$1.328B</w:t>
            </w:r>
          </w:p>
        </w:tc>
        <w:tc>
          <w:tcPr>
            <w:tcW w:type="dxa" w:w="1080"/>
          </w:tcPr>
          <w:p>
            <w:r>
              <w:rPr>
                <w:rFonts w:ascii="Calibri" w:hAnsi="Calibri"/>
                <w:sz w:val="22"/>
              </w:rPr>
              <w:t>+0.4%</w:t>
            </w:r>
          </w:p>
        </w:tc>
        <w:tc>
          <w:tcPr>
            <w:tcW w:type="dxa" w:w="1080"/>
          </w:tcPr>
          <w:p>
            <w:r>
              <w:rPr>
                <w:rFonts w:ascii="Calibri" w:hAnsi="Calibri"/>
                <w:sz w:val="22"/>
              </w:rPr>
              <w:t>Modest sequential cost increase expected (aluminum/Midwest premium)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Profit — FY 2026</w:t>
            </w:r>
          </w:p>
        </w:tc>
        <w:tc>
          <w:tcPr>
            <w:tcW w:type="dxa" w:w="1080"/>
          </w:tcPr>
          <w:p>
            <w:r>
              <w:rPr>
                <w:rFonts w:ascii="Calibri" w:hAnsi="Calibri"/>
                <w:sz w:val="22"/>
              </w:rPr>
              <w:t>$5.248B</w:t>
            </w:r>
          </w:p>
        </w:tc>
        <w:tc>
          <w:tcPr>
            <w:tcW w:type="dxa" w:w="1080"/>
          </w:tcPr>
          <w:p>
            <w:r>
              <w:rPr>
                <w:rFonts w:ascii="Calibri" w:hAnsi="Calibri"/>
                <w:sz w:val="22"/>
              </w:rPr>
              <w:t>$5.253B</w:t>
            </w:r>
          </w:p>
        </w:tc>
        <w:tc>
          <w:tcPr>
            <w:tcW w:type="dxa" w:w="1080"/>
          </w:tcPr>
          <w:p>
            <w:r>
              <w:rPr>
                <w:rFonts w:ascii="Calibri" w:hAnsi="Calibri"/>
                <w:sz w:val="22"/>
              </w:rPr>
              <w:t>+0.1%</w:t>
            </w:r>
          </w:p>
        </w:tc>
        <w:tc>
          <w:tcPr>
            <w:tcW w:type="dxa" w:w="1080"/>
          </w:tcPr>
          <w:p>
            <w:r>
              <w:rPr>
                <w:rFonts w:ascii="Calibri" w:hAnsi="Calibri"/>
                <w:sz w:val="22"/>
              </w:rPr>
              <w:t>Modest sequential cost increase expected (aluminum/Midwest premium)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 Q2 2026</w:t>
            </w:r>
          </w:p>
        </w:tc>
        <w:tc>
          <w:tcPr>
            <w:tcW w:type="dxa" w:w="1080"/>
          </w:tcPr>
          <w:p>
            <w:r>
              <w:rPr>
                <w:rFonts w:ascii="Calibri" w:hAnsi="Calibri"/>
                <w:sz w:val="22"/>
              </w:rPr>
              <w:t>$0.729B</w:t>
            </w:r>
          </w:p>
        </w:tc>
        <w:tc>
          <w:tcPr>
            <w:tcW w:type="dxa" w:w="1080"/>
          </w:tcPr>
          <w:p>
            <w:r>
              <w:rPr>
                <w:rFonts w:ascii="Calibri" w:hAnsi="Calibri"/>
                <w:sz w:val="22"/>
              </w:rPr>
              <w:t>$0.731B</w:t>
            </w:r>
          </w:p>
        </w:tc>
        <w:tc>
          <w:tcPr>
            <w:tcW w:type="dxa" w:w="1080"/>
          </w:tcPr>
          <w:p>
            <w:r>
              <w:rPr>
                <w:rFonts w:ascii="Calibri" w:hAnsi="Calibri"/>
                <w:sz w:val="22"/>
              </w:rPr>
              <w:t>+0.3%</w:t>
            </w:r>
          </w:p>
        </w:tc>
        <w:tc>
          <w:tcPr>
            <w:tcW w:type="dxa" w:w="1080"/>
          </w:tcPr>
          <w:p>
            <w:r>
              <w:rPr>
                <w:rFonts w:ascii="Calibri" w:hAnsi="Calibri"/>
                <w:sz w:val="22"/>
              </w:rPr>
              <w:t>No formal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data. Post-Q1 baseline uses consensus as of May 12, 2026 (5 trading days after the May 7, 2026 earnings release). Estimate revisions are uniformly small and positive — the Street has modestly upgraded its view but has not gotten ahead of itself, leaving room for a beat if April’s momentum carried through May and June.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MNST has dramatically outperformed both XLP and the S&amp;P 500 since the Q1 earnings date, with the stock up ~24% vs. XLP +1.6% and SPY +5.2% — the move is </w:t>
      </w:r>
      <w:r>
        <w:rPr>
          <w:rFonts w:ascii="Calibri" w:hAnsi="Calibri"/>
          <w:b/>
          <w:color w:val="525866"/>
          <w:sz w:val="22"/>
        </w:rPr>
        <w:t>primarily multiple expansion and sentiment re-rating</w:t>
      </w:r>
      <w:r>
        <w:rPr>
          <w:rFonts w:ascii="Calibri" w:hAnsi="Calibri"/>
          <w:color w:val="525866"/>
          <w:sz w:val="22"/>
        </w:rPr>
        <w:t xml:space="preserve"> driven by the Q1 revenue blowout and accelerating international growth story, meaning the stock needs a clean Q2 print to justify current levels.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MNST vs. XLP (Consumer Staples ETF) vs. S&amp;P 500 (SPY) — Indexed to 100 at May 7, 2026 (Q1 2026 Earnings Date). Source: Yahoo Finance.</w:t>
      </w:r>
    </w:p>
    <w:p>
      <w:r>
        <w:rPr>
          <w:rFonts w:ascii="Calibri" w:hAnsi="Calibri"/>
          <w:color w:val="525866"/>
          <w:sz w:val="22"/>
        </w:rPr>
        <w:t>Key Events Since Q1 Earnings (May 7, 2026):</w:t>
      </w:r>
    </w:p>
    <w:p>
      <w:pPr>
        <w:pStyle w:val="ListBullet"/>
        <w:ind w:left="360" w:hanging="360"/>
      </w:pPr>
      <w:r>
        <w:rPr>
          <w:rFonts w:ascii="Calibri" w:hAnsi="Calibri"/>
          <w:b/>
          <w:color w:val="525866"/>
          <w:sz w:val="22"/>
        </w:rPr>
        <w:t>May 7, 2026:</w:t>
      </w:r>
      <w:r>
        <w:rPr>
          <w:rFonts w:ascii="Calibri" w:hAnsi="Calibri"/>
          <w:color w:val="525866"/>
          <w:sz w:val="22"/>
        </w:rPr>
        <w:t xml:space="preserve"> Q1 2026 earnings beat — stock surged from $75.97 to $86.29 (+13.6%) on the day after the print, the primary driver of outperformance.</w:t>
      </w:r>
    </w:p>
    <w:p>
      <w:pPr>
        <w:pStyle w:val="ListBullet"/>
        <w:ind w:left="360" w:hanging="360"/>
      </w:pPr>
      <w:r>
        <w:rPr>
          <w:rFonts w:ascii="Calibri" w:hAnsi="Calibri"/>
          <w:b/>
          <w:color w:val="525866"/>
          <w:sz w:val="22"/>
        </w:rPr>
        <w:t>May 15, 2026:</w:t>
      </w:r>
      <w:r>
        <w:rPr>
          <w:rFonts w:ascii="Calibri" w:hAnsi="Calibri"/>
          <w:color w:val="525866"/>
          <w:sz w:val="22"/>
        </w:rPr>
        <w:t xml:space="preserve"> Board authorized new $500M share repurchase program; stock continued to grind higher.</w:t>
      </w:r>
    </w:p>
    <w:p>
      <w:pPr>
        <w:pStyle w:val="ListBullet"/>
        <w:ind w:left="360" w:hanging="360"/>
      </w:pPr>
      <w:r>
        <w:rPr>
          <w:rFonts w:ascii="Calibri" w:hAnsi="Calibri"/>
          <w:b/>
          <w:color w:val="525866"/>
          <w:sz w:val="22"/>
        </w:rPr>
        <w:t>June 4, 2026:</w:t>
      </w:r>
      <w:r>
        <w:rPr>
          <w:rFonts w:ascii="Calibri" w:hAnsi="Calibri"/>
          <w:color w:val="525866"/>
          <w:sz w:val="22"/>
        </w:rPr>
        <w:t xml:space="preserve"> Deutsche Bank Global Consumer Conference — management reiterated confident tone on international growth and pricing; no guidance changes.</w:t>
      </w:r>
    </w:p>
    <w:p>
      <w:pPr>
        <w:pStyle w:val="ListBullet"/>
        <w:ind w:left="360" w:hanging="360"/>
      </w:pPr>
      <w:r>
        <w:rPr>
          <w:rFonts w:ascii="Calibri" w:hAnsi="Calibri"/>
          <w:b/>
          <w:color w:val="525866"/>
          <w:sz w:val="22"/>
        </w:rPr>
        <w:t>July 8, 2026:</w:t>
      </w:r>
      <w:r>
        <w:rPr>
          <w:rFonts w:ascii="Calibri" w:hAnsi="Calibri"/>
          <w:color w:val="525866"/>
          <w:sz w:val="22"/>
        </w:rPr>
        <w:t xml:space="preserve"> 2-for-1 stock split announced (record date July 24; distribution August 10; trading at split-adjusted price from August 11). Stock at ~$95 at announcement.</w:t>
      </w:r>
    </w:p>
    <w:p>
      <w:pPr>
        <w:pStyle w:val="ListBullet"/>
        <w:ind w:left="360" w:hanging="360"/>
      </w:pPr>
      <w:r>
        <w:rPr>
          <w:rFonts w:ascii="Calibri" w:hAnsi="Calibri"/>
          <w:b/>
          <w:color w:val="525866"/>
          <w:sz w:val="22"/>
        </w:rPr>
        <w:t>August 5, 2026 (current):</w:t>
      </w:r>
      <w:r>
        <w:rPr>
          <w:rFonts w:ascii="Calibri" w:hAnsi="Calibri"/>
          <w:color w:val="525866"/>
          <w:sz w:val="22"/>
        </w:rPr>
        <w:t xml:space="preserve"> Stock at $94.46 (pre-split), up ~24.3% since Q1 earnings date. Note: all prices shown are pre-split.</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w:t>
      </w:r>
      <w:r>
        <w:rPr>
          <w:rFonts w:ascii="Calibri" w:hAnsi="Calibri"/>
          <w:b/>
          <w:color w:val="525866"/>
          <w:sz w:val="22"/>
        </w:rPr>
        <w:t>constructive for MNST’s Q2 2026 print</w:t>
      </w:r>
      <w:r>
        <w:rPr>
          <w:rFonts w:ascii="Calibri" w:hAnsi="Calibri"/>
          <w:color w:val="525866"/>
          <w:sz w:val="22"/>
        </w:rPr>
        <w:t xml:space="preserve"> — Celsius Holdings confirms the energy category is one of the strongest in all of consumer staples with accelerating new consumer recruitment, sugar-free and female demographics driving incremental growth, and shelf space gains materializing; PepsiCo’s Q2 2026 results flag a softer U.S. convenience channel from gas price headwinds, which is the one meaningful risk read-through for MNST’s domestic business.</w:t>
      </w:r>
    </w:p>
    <w:p>
      <w:pPr>
        <w:pStyle w:val="Heading3"/>
      </w:pPr>
      <w:r>
        <w:rPr>
          <w:rFonts w:ascii="Calibri" w:hAnsi="Calibri"/>
          <w:b/>
          <w:color w:val="3B4259"/>
          <w:sz w:val="24"/>
        </w:rPr>
        <w:t>Celsius Holdings (CELH) — Q1 2026 Earnings Call (May 7, 2026) &amp; Conferences</w:t>
      </w:r>
    </w:p>
    <w:p>
      <w:r>
        <w:rPr>
          <w:rFonts w:ascii="Calibri" w:hAnsi="Calibri"/>
          <w:b/>
          <w:color w:val="525866"/>
          <w:sz w:val="22"/>
        </w:rPr>
        <w:t xml:space="preserve">Relevance: </w:t>
      </w:r>
      <w:r>
        <w:rPr>
          <w:rFonts w:ascii="Calibri" w:hAnsi="Calibri"/>
          <w:color w:val="525866"/>
          <w:sz w:val="22"/>
        </w:rPr>
        <w:t>CELH is the most direct energy drink peer and competes in the same shelf space and consumer occasion as Monster. Commentary about the energy category, shelf resets, and consumer demand is a direct read-through.</w:t>
      </w:r>
    </w:p>
    <w:p>
      <w:pPr>
        <w:pStyle w:val="ListBullet"/>
        <w:ind w:left="360" w:hanging="360"/>
      </w:pPr>
      <w:r>
        <w:rPr>
          <w:rFonts w:ascii="Calibri" w:hAnsi="Calibri"/>
          <w:b/>
          <w:color w:val="525866"/>
          <w:sz w:val="22"/>
        </w:rPr>
        <w:t>Energy category is “exceptionally strong” and exceeding expectations:</w:t>
      </w:r>
      <w:r>
        <w:rPr>
          <w:rFonts w:ascii="Calibri" w:hAnsi="Calibri"/>
          <w:color w:val="525866"/>
          <w:sz w:val="22"/>
        </w:rPr>
        <w:t xml:space="preserve"> CELH management stated the category is “probably exceeded most people’s expectations, even ourselves” coming into 2026, with growth tracking above upper-single-digit expectations despite tough prior-year comps. This is a strong positive read-through for MNST’s Q2 volume and revenue.</w:t>
      </w:r>
    </w:p>
    <w:p>
      <w:pPr>
        <w:pStyle w:val="ListBullet"/>
        <w:ind w:left="360" w:hanging="360"/>
      </w:pPr>
      <w:r>
        <w:rPr>
          <w:rFonts w:ascii="Calibri" w:hAnsi="Calibri"/>
          <w:b/>
          <w:color w:val="525866"/>
          <w:sz w:val="22"/>
        </w:rPr>
        <w:t>Sugar-free and female consumers are the two biggest category growth drivers:</w:t>
      </w:r>
      <w:r>
        <w:rPr>
          <w:rFonts w:ascii="Calibri" w:hAnsi="Calibri"/>
          <w:color w:val="525866"/>
          <w:sz w:val="22"/>
        </w:rPr>
        <w:t xml:space="preserve"> CELH explicitly called out “sugar-free and female” as the two biggest drivers of energy drink category growth. Monster’s Ultra (zero sugar) line grew 20% in Q1 2026 and is ~50% female in Europe — MNST is well-positioned to capture both tailwinds.</w:t>
      </w:r>
    </w:p>
    <w:p>
      <w:pPr>
        <w:pStyle w:val="ListBullet"/>
        <w:ind w:left="360" w:hanging="360"/>
      </w:pPr>
      <w:r>
        <w:rPr>
          <w:rFonts w:ascii="Calibri" w:hAnsi="Calibri"/>
          <w:b/>
          <w:color w:val="525866"/>
          <w:sz w:val="22"/>
        </w:rPr>
        <w:t>New consumer recruitment at unprecedented rate:</w:t>
      </w:r>
      <w:r>
        <w:rPr>
          <w:rFonts w:ascii="Calibri" w:hAnsi="Calibri"/>
          <w:color w:val="525866"/>
          <w:sz w:val="22"/>
        </w:rPr>
        <w:t xml:space="preserve"> CELH noted “new consumers enter the category than ever before” with retailers “leaning in in a much bigger way than ever before.” Over 60% of historical sales derived from convenience/impulse. This validates MNST’s multipack and club channel expansion thesis.</w:t>
      </w:r>
    </w:p>
    <w:p>
      <w:pPr>
        <w:pStyle w:val="ListBullet"/>
        <w:ind w:left="360" w:hanging="360"/>
      </w:pPr>
      <w:r>
        <w:rPr>
          <w:rFonts w:ascii="Calibri" w:hAnsi="Calibri"/>
          <w:b/>
          <w:color w:val="525866"/>
          <w:sz w:val="22"/>
        </w:rPr>
        <w:t>Shelf space gains materializing — 17% for Celsius, triple digits for Alani:</w:t>
      </w:r>
      <w:r>
        <w:rPr>
          <w:rFonts w:ascii="Calibri" w:hAnsi="Calibri"/>
          <w:color w:val="525866"/>
          <w:sz w:val="22"/>
        </w:rPr>
        <w:t xml:space="preserve"> CELH confirmed ~17% shelf space gains for brand Celsius and over 100% for Alani Nu across all channels, with most resets expected complete by end of June/July. More shelf space for CELH brands could pressure MNST’s shelf allocation at the margin, but the overall category expansion is a net positive.</w:t>
      </w:r>
    </w:p>
    <w:p>
      <w:pPr>
        <w:pStyle w:val="ListBullet"/>
        <w:ind w:left="360" w:hanging="360"/>
      </w:pPr>
      <w:r>
        <w:rPr>
          <w:rFonts w:ascii="Calibri" w:hAnsi="Calibri"/>
          <w:b/>
          <w:color w:val="525866"/>
          <w:sz w:val="22"/>
        </w:rPr>
        <w:t>Convenience channel remains the primary growth driver:</w:t>
      </w:r>
      <w:r>
        <w:rPr>
          <w:rFonts w:ascii="Calibri" w:hAnsi="Calibri"/>
          <w:color w:val="525866"/>
          <w:sz w:val="22"/>
        </w:rPr>
        <w:t xml:space="preserve"> CELH noted Alani is “just getting into convenience for the first time” and that convenience is “a huge opportunity.” Monster’s dominant convenience store presence is a structural advantage as the category grows.</w:t>
      </w:r>
    </w:p>
    <w:p>
      <w:pPr>
        <w:pStyle w:val="ListBullet"/>
        <w:ind w:left="360" w:hanging="360"/>
      </w:pPr>
      <w:r>
        <w:rPr>
          <w:rFonts w:ascii="Calibri" w:hAnsi="Calibri"/>
          <w:b/>
          <w:color w:val="525866"/>
          <w:sz w:val="22"/>
        </w:rPr>
        <w:t>Q2 gross margin expected to be “flat to Q1” for CELH:</w:t>
      </w:r>
      <w:r>
        <w:rPr>
          <w:rFonts w:ascii="Calibri" w:hAnsi="Calibri"/>
          <w:color w:val="525866"/>
          <w:sz w:val="22"/>
        </w:rPr>
        <w:t xml:space="preserve"> CELH guided Q2 gross margins “more in line with Q1 or flat,” with margin expansion expected in H2 2026. Aluminum (LME and Midwest premium) cited as the primary headwind — directly corroborates MNST’s guidance for a modest sequential cost increase in Q2.</w:t>
      </w:r>
    </w:p>
    <w:p>
      <w:pPr>
        <w:pStyle w:val="ListBullet"/>
        <w:ind w:left="360" w:hanging="360"/>
      </w:pPr>
      <w:r>
        <w:rPr>
          <w:rFonts w:ascii="Calibri" w:hAnsi="Calibri"/>
          <w:b/>
          <w:color w:val="525866"/>
          <w:sz w:val="22"/>
        </w:rPr>
        <w:t>Energy drinks becoming a multi-occasion, lifestyle beverage:</w:t>
      </w:r>
      <w:r>
        <w:rPr>
          <w:rFonts w:ascii="Calibri" w:hAnsi="Calibri"/>
          <w:color w:val="525866"/>
          <w:sz w:val="22"/>
        </w:rPr>
        <w:t xml:space="preserve"> CELH noted over 33% of consumers now drink energy drinks with meals and over 30% drink them instead of alcohol at social gatherings — structural category expansion that benefits all incumbents including MNST.</w:t>
      </w:r>
    </w:p>
    <w:p>
      <w:pPr>
        <w:pStyle w:val="Heading3"/>
      </w:pPr>
      <w:r>
        <w:rPr>
          <w:rFonts w:ascii="Calibri" w:hAnsi="Calibri"/>
          <w:b/>
          <w:color w:val="3B4259"/>
          <w:sz w:val="24"/>
        </w:rPr>
        <w:t>Keurig Dr Pepper (KDP) — Deutsche Bank Global Consumer Conference (June 3, 2026)</w:t>
      </w:r>
    </w:p>
    <w:p>
      <w:r>
        <w:rPr>
          <w:rFonts w:ascii="Calibri" w:hAnsi="Calibri"/>
          <w:b/>
          <w:color w:val="525866"/>
          <w:sz w:val="22"/>
        </w:rPr>
        <w:t xml:space="preserve">Relevance: </w:t>
      </w:r>
      <w:r>
        <w:rPr>
          <w:rFonts w:ascii="Calibri" w:hAnsi="Calibri"/>
          <w:color w:val="525866"/>
          <w:sz w:val="22"/>
        </w:rPr>
        <w:t>KDP is a major beverage distributor and energy drink participant (8%+ share) with visibility into category dynamics, shelf trends, and consumer demand across the same retail channels as Monster.</w:t>
      </w:r>
    </w:p>
    <w:p>
      <w:pPr>
        <w:pStyle w:val="ListBullet"/>
        <w:ind w:left="360" w:hanging="360"/>
      </w:pPr>
      <w:r>
        <w:rPr>
          <w:rFonts w:ascii="Calibri" w:hAnsi="Calibri"/>
          <w:b/>
          <w:color w:val="525866"/>
          <w:sz w:val="22"/>
        </w:rPr>
        <w:t>Energy drink category is “large and attractive” with double-digit multiyear CAGR:</w:t>
      </w:r>
      <w:r>
        <w:rPr>
          <w:rFonts w:ascii="Calibri" w:hAnsi="Calibri"/>
          <w:color w:val="525866"/>
          <w:sz w:val="22"/>
        </w:rPr>
        <w:t xml:space="preserve"> KDP described the energy category as a $30B annual retail sales market growing at a double-digit multiyear CAGR. KDP itself has grown from ~0% share four years ago to over 8% today, and is targeting 10%+ share — validating the category’s structural growth and Monster’s long-term runway.</w:t>
      </w:r>
    </w:p>
    <w:p>
      <w:pPr>
        <w:pStyle w:val="ListBullet"/>
        <w:ind w:left="360" w:hanging="360"/>
      </w:pPr>
      <w:r>
        <w:rPr>
          <w:rFonts w:ascii="Calibri" w:hAnsi="Calibri"/>
          <w:b/>
          <w:color w:val="525866"/>
          <w:sz w:val="22"/>
        </w:rPr>
        <w:t>Zero sugar is the fastest-growing segment:</w:t>
      </w:r>
      <w:r>
        <w:rPr>
          <w:rFonts w:ascii="Calibri" w:hAnsi="Calibri"/>
          <w:color w:val="525866"/>
          <w:sz w:val="22"/>
        </w:rPr>
        <w:t xml:space="preserve"> KDP highlighted its portfolio “plays in the fast-growing Zero Sugar segment” as a key competitive advantage. Monster’s Ultra line (zero sugar) is the company’s fastest-growing platform in the U.S. — this is a direct positive read-through.</w:t>
      </w:r>
    </w:p>
    <w:p>
      <w:pPr>
        <w:pStyle w:val="ListBullet"/>
        <w:ind w:left="360" w:hanging="360"/>
      </w:pPr>
      <w:r>
        <w:rPr>
          <w:rFonts w:ascii="Calibri" w:hAnsi="Calibri"/>
          <w:b/>
          <w:color w:val="525866"/>
          <w:sz w:val="22"/>
        </w:rPr>
        <w:t>Consumer wellness megatrend driving premiumization:</w:t>
      </w:r>
      <w:r>
        <w:rPr>
          <w:rFonts w:ascii="Calibri" w:hAnsi="Calibri"/>
          <w:color w:val="525866"/>
          <w:sz w:val="22"/>
        </w:rPr>
        <w:t xml:space="preserve"> KDP cited wellness, self-expression, and convenience as the key consumer megatrends driving beverage industry growth. Monster’s new Storm wellness brand and FLRT female-focused brand are directly aligned with these trends.</w:t>
      </w:r>
    </w:p>
    <w:p>
      <w:pPr>
        <w:pStyle w:val="ListBullet"/>
        <w:ind w:left="360" w:hanging="360"/>
      </w:pPr>
      <w:r>
        <w:rPr>
          <w:rFonts w:ascii="Calibri" w:hAnsi="Calibri"/>
          <w:b/>
          <w:color w:val="525866"/>
          <w:sz w:val="22"/>
        </w:rPr>
        <w:t>DSD distribution is a critical competitive moat:</w:t>
      </w:r>
      <w:r>
        <w:rPr>
          <w:rFonts w:ascii="Calibri" w:hAnsi="Calibri"/>
          <w:color w:val="525866"/>
          <w:sz w:val="22"/>
        </w:rPr>
        <w:t xml:space="preserve"> KDP emphasized that DSD systems “enable brands to serve stores that would otherwise be difficult to reach” and “strengthen relationships with store-level decision-makers.” Monster’s Coca-Cola bottler distribution network is its primary competitive advantage — this commentary reinforces the moat.</w:t>
      </w:r>
    </w:p>
    <w:p>
      <w:pPr>
        <w:pStyle w:val="ListBullet"/>
        <w:ind w:left="360" w:hanging="360"/>
      </w:pPr>
      <w:r>
        <w:rPr>
          <w:rFonts w:ascii="Calibri" w:hAnsi="Calibri"/>
          <w:b/>
          <w:color w:val="525866"/>
          <w:sz w:val="22"/>
        </w:rPr>
        <w:t>2026 guidance reaffirmed:</w:t>
      </w:r>
      <w:r>
        <w:rPr>
          <w:rFonts w:ascii="Calibri" w:hAnsi="Calibri"/>
          <w:color w:val="525866"/>
          <w:sz w:val="22"/>
        </w:rPr>
        <w:t xml:space="preserve"> KDP reaffirmed 2026 guidance of $25.9–26.4B in net sales and low double-digit EPS growth, signaling a stable consumer environment for branded beverages heading into Q2 2026.</w:t>
      </w:r>
    </w:p>
    <w:p>
      <w:pPr>
        <w:pStyle w:val="Heading3"/>
      </w:pPr>
      <w:r>
        <w:rPr>
          <w:rFonts w:ascii="Calibri" w:hAnsi="Calibri"/>
          <w:b/>
          <w:color w:val="3B4259"/>
          <w:sz w:val="24"/>
        </w:rPr>
        <w:t>The Coca-Cola Company (KO) — Deutsche Bank Global Consumer Conference (June 4, 2026)</w:t>
      </w:r>
    </w:p>
    <w:p>
      <w:r>
        <w:rPr>
          <w:rFonts w:ascii="Calibri" w:hAnsi="Calibri"/>
          <w:b/>
          <w:color w:val="525866"/>
          <w:sz w:val="22"/>
        </w:rPr>
        <w:t xml:space="preserve">Relevance: </w:t>
      </w:r>
      <w:r>
        <w:rPr>
          <w:rFonts w:ascii="Calibri" w:hAnsi="Calibri"/>
          <w:color w:val="525866"/>
          <w:sz w:val="22"/>
        </w:rPr>
        <w:t>Coca-Cola is Monster’s primary distribution partner globally. KO’s commentary on the energy category, international markets, and the Monster relationship is a direct read-through.</w:t>
      </w:r>
    </w:p>
    <w:p>
      <w:pPr>
        <w:pStyle w:val="ListBullet"/>
        <w:ind w:left="360" w:hanging="360"/>
      </w:pPr>
      <w:r>
        <w:rPr>
          <w:rFonts w:ascii="Calibri" w:hAnsi="Calibri"/>
          <w:b/>
          <w:color w:val="525866"/>
          <w:sz w:val="22"/>
        </w:rPr>
        <w:t>Monster relationship described as “doing a much better job” with “really good dialogue”:</w:t>
      </w:r>
      <w:r>
        <w:rPr>
          <w:rFonts w:ascii="Calibri" w:hAnsi="Calibri"/>
          <w:color w:val="525866"/>
          <w:sz w:val="22"/>
        </w:rPr>
        <w:t xml:space="preserve"> KO CFO John Murphy acknowledged past “differences” but stated the relationship is now significantly improved, with Monster’s operations described as doing an “amazing job with our ecosystem that we actually learn from.” This is a positive read-through for MNST’s international distribution execution.</w:t>
      </w:r>
    </w:p>
    <w:p>
      <w:pPr>
        <w:pStyle w:val="ListBullet"/>
        <w:ind w:left="360" w:hanging="360"/>
      </w:pPr>
      <w:r>
        <w:rPr>
          <w:rFonts w:ascii="Calibri" w:hAnsi="Calibri"/>
          <w:b/>
          <w:color w:val="525866"/>
          <w:sz w:val="22"/>
        </w:rPr>
        <w:t>Energy category is a “very, very important piece of the ecosystem”:</w:t>
      </w:r>
      <w:r>
        <w:rPr>
          <w:rFonts w:ascii="Calibri" w:hAnsi="Calibri"/>
          <w:color w:val="525866"/>
          <w:sz w:val="22"/>
        </w:rPr>
        <w:t xml:space="preserve"> KO framed energy as part of a broader “fuel need state” alongside sports and sparkling, and described the opportunity as creating “value for all of us” across the system. This validates Monster’s strategic importance to the Coca-Cola bottler network.</w:t>
      </w:r>
    </w:p>
    <w:p>
      <w:pPr>
        <w:pStyle w:val="ListBullet"/>
        <w:ind w:left="360" w:hanging="360"/>
      </w:pPr>
      <w:r>
        <w:rPr>
          <w:rFonts w:ascii="Calibri" w:hAnsi="Calibri"/>
          <w:b/>
          <w:color w:val="525866"/>
          <w:sz w:val="22"/>
        </w:rPr>
        <w:t>International consumer resilience — India and China cited as exciting:</w:t>
      </w:r>
      <w:r>
        <w:rPr>
          <w:rFonts w:ascii="Calibri" w:hAnsi="Calibri"/>
          <w:color w:val="525866"/>
          <w:sz w:val="22"/>
        </w:rPr>
        <w:t xml:space="preserve"> KO’s Murphy expressed excitement after visiting India and China in early 2026, noting “the same level of excitement about what’s happening there.” Monster’s India and China businesses each nearly doubled on a currency-neutral basis in Q1 2026 — KO’s commentary validates the structural opportunity.</w:t>
      </w:r>
    </w:p>
    <w:p>
      <w:pPr>
        <w:pStyle w:val="ListBullet"/>
        <w:ind w:left="360" w:hanging="360"/>
      </w:pPr>
      <w:r>
        <w:rPr>
          <w:rFonts w:ascii="Calibri" w:hAnsi="Calibri"/>
          <w:b/>
          <w:color w:val="525866"/>
          <w:sz w:val="22"/>
        </w:rPr>
        <w:t>Pricing discipline: “going back to pricing is not always the answer”:</w:t>
      </w:r>
      <w:r>
        <w:rPr>
          <w:rFonts w:ascii="Calibri" w:hAnsi="Calibri"/>
          <w:color w:val="525866"/>
          <w:sz w:val="22"/>
        </w:rPr>
        <w:t xml:space="preserve"> KO cautioned that repeated pricing is not a sustainable strategy and emphasized a “more nuanced approach” balancing volume, price, and mix. This is relevant context for MNST’s own pricing strategy — management has been evaluating additional pricing actions but has not yet pulled the trigger.</w:t>
      </w:r>
    </w:p>
    <w:p>
      <w:pPr>
        <w:pStyle w:val="ListBullet"/>
        <w:ind w:left="360" w:hanging="360"/>
      </w:pPr>
      <w:r>
        <w:rPr>
          <w:rFonts w:ascii="Calibri" w:hAnsi="Calibri"/>
          <w:b/>
          <w:color w:val="525866"/>
          <w:sz w:val="22"/>
        </w:rPr>
        <w:t>20 consecutive quarters of value share gains:</w:t>
      </w:r>
      <w:r>
        <w:rPr>
          <w:rFonts w:ascii="Calibri" w:hAnsi="Calibri"/>
          <w:color w:val="525866"/>
          <w:sz w:val="22"/>
        </w:rPr>
        <w:t xml:space="preserve"> KO reported 20 consecutive quarters of value share gains across its portfolio, signaling a healthy branded beverage environment that benefits Monster’s premium positioning.</w:t>
      </w:r>
    </w:p>
    <w:p>
      <w:pPr>
        <w:pStyle w:val="Heading3"/>
      </w:pPr>
      <w:r>
        <w:rPr>
          <w:rFonts w:ascii="Calibri" w:hAnsi="Calibri"/>
          <w:b/>
          <w:color w:val="3B4259"/>
          <w:sz w:val="24"/>
        </w:rPr>
        <w:t>PepsiCo (PEP) — Q2 2026 Earnings Call (July 9, 2026)</w:t>
      </w:r>
    </w:p>
    <w:p>
      <w:r>
        <w:rPr>
          <w:rFonts w:ascii="Calibri" w:hAnsi="Calibri"/>
          <w:b/>
          <w:color w:val="525866"/>
          <w:sz w:val="22"/>
        </w:rPr>
        <w:t xml:space="preserve">Relevance: </w:t>
      </w:r>
      <w:r>
        <w:rPr>
          <w:rFonts w:ascii="Calibri" w:hAnsi="Calibri"/>
          <w:color w:val="525866"/>
          <w:sz w:val="22"/>
        </w:rPr>
        <w:t>PepsiCo distributes Celsius, Alani Nu, and Rockstar — direct energy drink competitors to Monster. PEP’s Q2 2026 results (the most recent peer print) provide the most timely read on U.S. consumer and convenience channel conditions during the exact quarter MNST is reporting.</w:t>
      </w:r>
    </w:p>
    <w:p>
      <w:pPr>
        <w:pStyle w:val="ListBullet"/>
        <w:ind w:left="360" w:hanging="360"/>
      </w:pPr>
      <w:r>
        <w:rPr>
          <w:rFonts w:ascii="Calibri" w:hAnsi="Calibri"/>
          <w:b/>
          <w:color w:val="525866"/>
          <w:sz w:val="22"/>
        </w:rPr>
        <w:t>U.S. convenience channel was “particularly soft” in Q2 2026 — key risk read-through:</w:t>
      </w:r>
      <w:r>
        <w:rPr>
          <w:rFonts w:ascii="Calibri" w:hAnsi="Calibri"/>
          <w:color w:val="525866"/>
          <w:sz w:val="22"/>
        </w:rPr>
        <w:t xml:space="preserve"> PEP CEO Ramon Laguarta explicitly flagged that “impulse channels” including convenience stores were “particularly soft” in Q2, driven by rising gas prices from the Iran war. There was a “slowdown of the conversion of traffic into purchases” in these channels. This is the most important risk read-through for MNST, as convenience stores are Monster’s primary U.S. channel.</w:t>
      </w:r>
    </w:p>
    <w:p>
      <w:pPr>
        <w:pStyle w:val="ListBullet"/>
        <w:ind w:left="360" w:hanging="360"/>
      </w:pPr>
      <w:r>
        <w:rPr>
          <w:rFonts w:ascii="Calibri" w:hAnsi="Calibri"/>
          <w:b/>
          <w:color w:val="525866"/>
          <w:sz w:val="22"/>
        </w:rPr>
        <w:t>U.S. consumer “worse than anticipated” driven by gas prices:</w:t>
      </w:r>
      <w:r>
        <w:rPr>
          <w:rFonts w:ascii="Calibri" w:hAnsi="Calibri"/>
          <w:color w:val="525866"/>
          <w:sz w:val="22"/>
        </w:rPr>
        <w:t xml:space="preserve"> Laguarta stated “the consumer is worse than what we had anticipated and driven mainly by gas prices.” This macro headwind could have pressured Monster’s U.S. convenience store volumes in Q2 2026, potentially creating a risk to the $1.389B U.S. revenue consensus.</w:t>
      </w:r>
    </w:p>
    <w:p>
      <w:pPr>
        <w:pStyle w:val="ListBullet"/>
        <w:ind w:left="360" w:hanging="360"/>
      </w:pPr>
      <w:r>
        <w:rPr>
          <w:rFonts w:ascii="Calibri" w:hAnsi="Calibri"/>
          <w:b/>
          <w:color w:val="525866"/>
          <w:sz w:val="22"/>
        </w:rPr>
        <w:t>Energy drink business highlighted as a positive within PEP’s portfolio:</w:t>
      </w:r>
      <w:r>
        <w:rPr>
          <w:rFonts w:ascii="Calibri" w:hAnsi="Calibri"/>
          <w:color w:val="525866"/>
          <w:sz w:val="22"/>
        </w:rPr>
        <w:t xml:space="preserve"> Despite the soft U.S. environment, Laguarta stated “we feel good about our energy business” alongside functional hydration. This suggests the energy category held up better than PEP’s broader snack/beverage portfolio even in a challenging convenience channel environment.</w:t>
      </w:r>
    </w:p>
    <w:p>
      <w:pPr>
        <w:pStyle w:val="ListBullet"/>
        <w:ind w:left="360" w:hanging="360"/>
      </w:pPr>
      <w:r>
        <w:rPr>
          <w:rFonts w:ascii="Calibri" w:hAnsi="Calibri"/>
          <w:b/>
          <w:color w:val="525866"/>
          <w:sz w:val="22"/>
        </w:rPr>
        <w:t>International business “continues very strong” — growing 7% and accelerating:</w:t>
      </w:r>
      <w:r>
        <w:rPr>
          <w:rFonts w:ascii="Calibri" w:hAnsi="Calibri"/>
          <w:color w:val="525866"/>
          <w:sz w:val="22"/>
        </w:rPr>
        <w:t xml:space="preserve"> PEP’s international business grew 7% in Q2 2026 and is expected to “remain strong” in H2. This is a positive read-through for Monster’s international segment, which represents ~45% of total revenue and is the primary growth driver.</w:t>
      </w:r>
    </w:p>
    <w:p>
      <w:pPr>
        <w:pStyle w:val="ListBullet"/>
        <w:ind w:left="360" w:hanging="360"/>
      </w:pPr>
      <w:r>
        <w:rPr>
          <w:rFonts w:ascii="Calibri" w:hAnsi="Calibri"/>
          <w:b/>
          <w:color w:val="525866"/>
          <w:sz w:val="22"/>
        </w:rPr>
        <w:t>PEP reaffirmed full-year guidance but expects to be “towards the low end of EPS range”:</w:t>
      </w:r>
      <w:r>
        <w:rPr>
          <w:rFonts w:ascii="Calibri" w:hAnsi="Calibri"/>
          <w:color w:val="525866"/>
          <w:sz w:val="22"/>
        </w:rPr>
        <w:t xml:space="preserve"> PEP’s guidance reaffirmation with a low-end EPS caveat reflects a mixed environment — strong international, soft U.S. impulse. For MNST, the international strength is more relevant given its higher international mix.</w:t>
      </w:r>
    </w:p>
    <w:p>
      <w:pPr>
        <w:pStyle w:val="ListBullet"/>
        <w:ind w:left="360" w:hanging="360"/>
      </w:pPr>
      <w:r>
        <w:rPr>
          <w:rFonts w:ascii="Calibri" w:hAnsi="Calibri"/>
          <w:b/>
          <w:color w:val="525866"/>
          <w:sz w:val="22"/>
        </w:rPr>
        <w:t>Alani Nu distribution transition largely complete:</w:t>
      </w:r>
      <w:r>
        <w:rPr>
          <w:rFonts w:ascii="Calibri" w:hAnsi="Calibri"/>
          <w:color w:val="525866"/>
          <w:sz w:val="22"/>
        </w:rPr>
        <w:t xml:space="preserve"> PEP confirmed Alani Nu is now fully integrated into the Pepsi DSD system, meaning CELH’s portfolio is now at full competitive strength in convenience. This is a modest competitive headwind for Monster’s U.S. shelf position.</w:t>
      </w:r>
    </w:p>
    <w:p>
      <w:r>
        <w:rPr>
          <w:rFonts w:ascii="Calibri" w:hAnsi="Calibri"/>
          <w:b/>
          <w:color w:val="525866"/>
          <w:sz w:val="22"/>
        </w:rPr>
        <w:t xml:space="preserve">Read-Through Summary: </w:t>
      </w:r>
      <w:r>
        <w:rPr>
          <w:rFonts w:ascii="Calibri" w:hAnsi="Calibri"/>
          <w:color w:val="525866"/>
          <w:sz w:val="22"/>
        </w:rPr>
        <w:t>The peer mosaic is broadly positive for MNST’s Q2 2026 print, with the energy category remaining one of the strongest in consumer staples (CELH), the Coca-Cola distribution relationship in good health (KO), and international markets resilient (PEP). The one meaningful risk is PEP’s explicit call-out of U.S. convenience channel softness from gas price headwinds — this could pressure MNST’s domestic volume and is the key variable to watch in the Q2 print.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2-for-1 stock split announcement (July 8)</w:t>
      </w:r>
      <w:r>
        <w:rPr>
          <w:rFonts w:ascii="Calibri" w:hAnsi="Calibri"/>
          <w:color w:val="525866"/>
          <w:sz w:val="22"/>
        </w:rPr>
        <w:t>, which signals strong management confidence in the stock’s trajectory; combined with the $500M buyback authorization, capital allocation actions are unambiguously bullish heading into the print.</w:t>
      </w:r>
    </w:p>
    <w:p>
      <w:pPr>
        <w:pStyle w:val="ListBullet"/>
        <w:ind w:left="360" w:hanging="360"/>
      </w:pPr>
      <w:r>
        <w:rPr>
          <w:rFonts w:ascii="Calibri" w:hAnsi="Calibri"/>
          <w:b/>
          <w:color w:val="525866"/>
          <w:sz w:val="22"/>
        </w:rPr>
        <w:t>July 8, 2026 — 2-for-1 Stock Split Announced (8-K):</w:t>
      </w:r>
      <w:r>
        <w:rPr>
          <w:rFonts w:ascii="Calibri" w:hAnsi="Calibri"/>
          <w:color w:val="525866"/>
          <w:sz w:val="22"/>
        </w:rPr>
        <w:t xml:space="preserve"> Board approved a 100% stock dividend (2-for-1 split). Record date: July 24, 2026; distribution after close August 10, 2026; trading at split-adjusted price from August 11, 2026. </w:t>
      </w:r>
      <w:r>
        <w:rPr>
          <w:rFonts w:ascii="Calibri" w:hAnsi="Calibri"/>
          <w:i/>
          <w:color w:val="525866"/>
          <w:sz w:val="22"/>
        </w:rPr>
        <w:t>Implication:</w:t>
      </w:r>
      <w:r>
        <w:rPr>
          <w:rFonts w:ascii="Calibri" w:hAnsi="Calibri"/>
          <w:color w:val="525866"/>
          <w:sz w:val="22"/>
        </w:rPr>
        <w:t xml:space="preserve"> Signals management confidence in the stock’s long-term trajectory and improves retail accessibility. The Q2 2026 earnings report (August 6) will be the last pre-split print.</w:t>
      </w:r>
    </w:p>
    <w:p>
      <w:pPr>
        <w:pStyle w:val="ListBullet"/>
        <w:ind w:left="360" w:hanging="360"/>
      </w:pPr>
      <w:r>
        <w:rPr>
          <w:rFonts w:ascii="Calibri" w:hAnsi="Calibri"/>
          <w:b/>
          <w:color w:val="525866"/>
          <w:sz w:val="22"/>
        </w:rPr>
        <w:t>June 4, 2026 — Deutsche Bank Global Consumer Conference:</w:t>
      </w:r>
      <w:r>
        <w:rPr>
          <w:rFonts w:ascii="Calibri" w:hAnsi="Calibri"/>
          <w:color w:val="525866"/>
          <w:sz w:val="22"/>
        </w:rPr>
        <w:t xml:space="preserve"> Management reiterated confident tone on international growth, pricing strategy, and aluminum cost management. No guidance changes. Key highlights: Monster launched in Pakistan weeks before the conference; Japan vending machine distribution agreement with KGI (main Coca-Cola bottler) announced; FLRT female-focused brand media campaign commencing; vanilla flavor shots planned for autumn 2026. </w:t>
      </w:r>
      <w:r>
        <w:rPr>
          <w:rFonts w:ascii="Calibri" w:hAnsi="Calibri"/>
          <w:i/>
          <w:color w:val="525866"/>
          <w:sz w:val="22"/>
        </w:rPr>
        <w:t>Implication:</w:t>
      </w:r>
      <w:r>
        <w:rPr>
          <w:rFonts w:ascii="Calibri" w:hAnsi="Calibri"/>
          <w:color w:val="525866"/>
          <w:sz w:val="22"/>
        </w:rPr>
        <w:t xml:space="preserve"> Confirms the growth narrative is intact and innovation pipeline is robust.</w:t>
      </w:r>
    </w:p>
    <w:p>
      <w:pPr>
        <w:pStyle w:val="ListBullet"/>
        <w:ind w:left="360" w:hanging="360"/>
      </w:pPr>
      <w:r>
        <w:rPr>
          <w:rFonts w:ascii="Calibri" w:hAnsi="Calibri"/>
          <w:b/>
          <w:color w:val="525866"/>
          <w:sz w:val="22"/>
        </w:rPr>
        <w:t>May 15, 2026 — $500M Share Repurchase Program Authorized (8-K):</w:t>
      </w:r>
      <w:r>
        <w:rPr>
          <w:rFonts w:ascii="Calibri" w:hAnsi="Calibri"/>
          <w:color w:val="525866"/>
          <w:sz w:val="22"/>
        </w:rPr>
        <w:t xml:space="preserve"> Board authorized a new $500M buyback, on top of ~$400M remaining under the prior program as of May 14, 2026. </w:t>
      </w:r>
      <w:r>
        <w:rPr>
          <w:rFonts w:ascii="Calibri" w:hAnsi="Calibri"/>
          <w:i/>
          <w:color w:val="525866"/>
          <w:sz w:val="22"/>
        </w:rPr>
        <w:t>Implication:</w:t>
      </w:r>
      <w:r>
        <w:rPr>
          <w:rFonts w:ascii="Calibri" w:hAnsi="Calibri"/>
          <w:color w:val="525866"/>
          <w:sz w:val="22"/>
        </w:rPr>
        <w:t xml:space="preserve"> Strong signal of management confidence in cash generation and stock valuation; total buyback capacity of ~$900M heading into Q2 earnings.</w:t>
      </w:r>
    </w:p>
    <w:p>
      <w:pPr>
        <w:pStyle w:val="ListBullet"/>
        <w:ind w:left="360" w:hanging="360"/>
      </w:pPr>
      <w:r>
        <w:rPr>
          <w:rFonts w:ascii="Calibri" w:hAnsi="Calibri"/>
          <w:b/>
          <w:color w:val="525866"/>
          <w:sz w:val="22"/>
        </w:rPr>
        <w:t>May 7, 2026 — Q1 2026 Earnings Beat (Press Release + Transcript):</w:t>
      </w:r>
      <w:r>
        <w:rPr>
          <w:rFonts w:ascii="Calibri" w:hAnsi="Calibri"/>
          <w:color w:val="525866"/>
          <w:sz w:val="22"/>
        </w:rPr>
        <w:t xml:space="preserve"> Net sales of $2.35B (+26.9% YoY) crossed the $2B threshold for the first time in a fiscal Q1; international sales reached 45% of total; adjusted EPS of $0.58 (+23.7% YoY). April 2026 sales disclosed at +24.4% YoY (non-FX). </w:t>
      </w:r>
      <w:r>
        <w:rPr>
          <w:rFonts w:ascii="Calibri" w:hAnsi="Calibri"/>
          <w:i/>
          <w:color w:val="525866"/>
          <w:sz w:val="22"/>
        </w:rPr>
        <w:t>Implication:</w:t>
      </w:r>
      <w:r>
        <w:rPr>
          <w:rFonts w:ascii="Calibri" w:hAnsi="Calibri"/>
          <w:color w:val="525866"/>
          <w:sz w:val="22"/>
        </w:rPr>
        <w:t xml:space="preserve"> Set a high bar for Q2 but also provided a strong early read on Q2 momentum.</w:t>
      </w:r>
    </w:p>
    <w:p>
      <w:pPr>
        <w:pStyle w:val="ListBullet"/>
        <w:ind w:left="360" w:hanging="360"/>
      </w:pPr>
      <w:r>
        <w:rPr>
          <w:rFonts w:ascii="Calibri" w:hAnsi="Calibri"/>
          <w:b/>
          <w:color w:val="525866"/>
          <w:sz w:val="22"/>
        </w:rPr>
        <w:t>Ongoing — Aluminum / Tariff Headwind:</w:t>
      </w:r>
      <w:r>
        <w:rPr>
          <w:rFonts w:ascii="Calibri" w:hAnsi="Calibri"/>
          <w:color w:val="525866"/>
          <w:sz w:val="22"/>
        </w:rPr>
        <w:t xml:space="preserve"> Management guided to a “modest sequential increase in costs” through at least year-end 2026 from the Midwest premium on aluminum cans. The aluminum headwind was ~1% of margin in Q1 2026. Active hedging program in place. </w:t>
      </w:r>
      <w:r>
        <w:rPr>
          <w:rFonts w:ascii="Calibri" w:hAnsi="Calibri"/>
          <w:i/>
          <w:color w:val="525866"/>
          <w:sz w:val="22"/>
        </w:rPr>
        <w:t>Implication:</w:t>
      </w:r>
      <w:r>
        <w:rPr>
          <w:rFonts w:ascii="Calibri" w:hAnsi="Calibri"/>
          <w:color w:val="525866"/>
          <w:sz w:val="22"/>
        </w:rPr>
        <w:t xml:space="preserve"> Gross margin is the key swing factor for Q2 — any upside vs. the ~54.5% implied consensus would be a positive catalyst.</w:t>
      </w:r>
    </w:p>
    <w:p>
      <w:pPr>
        <w:pStyle w:val="ListBullet"/>
        <w:ind w:left="360" w:hanging="360"/>
      </w:pPr>
      <w:r>
        <w:rPr>
          <w:rFonts w:ascii="Calibri" w:hAnsi="Calibri"/>
          <w:b/>
          <w:color w:val="525866"/>
          <w:sz w:val="22"/>
        </w:rPr>
        <w:t>Ongoing — New Market Launches:</w:t>
      </w:r>
      <w:r>
        <w:rPr>
          <w:rFonts w:ascii="Calibri" w:hAnsi="Calibri"/>
          <w:color w:val="525866"/>
          <w:sz w:val="22"/>
        </w:rPr>
        <w:t xml:space="preserve"> Monster launched in Thailand (Q1 2026, with Swire) and Pakistan (weeks before the June 4 conference). Japan vending machine distribution agreement with KGI announced. </w:t>
      </w:r>
      <w:r>
        <w:rPr>
          <w:rFonts w:ascii="Calibri" w:hAnsi="Calibri"/>
          <w:i/>
          <w:color w:val="525866"/>
          <w:sz w:val="22"/>
        </w:rPr>
        <w:t>Implication:</w:t>
      </w:r>
      <w:r>
        <w:rPr>
          <w:rFonts w:ascii="Calibri" w:hAnsi="Calibri"/>
          <w:color w:val="525866"/>
          <w:sz w:val="22"/>
        </w:rPr>
        <w:t xml:space="preserve"> Incremental distribution wins that support the international growth narrative heading into Q2.</w:t>
      </w:r>
    </w:p>
    <w:p>
      <w:pPr>
        <w:pStyle w:val="ListBullet"/>
        <w:ind w:left="360" w:hanging="360"/>
      </w:pPr>
      <w:r>
        <w:rPr>
          <w:rFonts w:ascii="Calibri" w:hAnsi="Calibri"/>
          <w:b/>
          <w:color w:val="525866"/>
          <w:sz w:val="22"/>
        </w:rPr>
        <w:t>Ongoing — U.S. Innovation Pipeline:</w:t>
      </w:r>
      <w:r>
        <w:rPr>
          <w:rFonts w:ascii="Calibri" w:hAnsi="Calibri"/>
          <w:color w:val="525866"/>
          <w:sz w:val="22"/>
        </w:rPr>
        <w:t xml:space="preserve"> FLRT (female-focused brand) launched in late March in select retail channels; Storm (wellness brand, 4 SKUs) launched in early May; Monster Energy Strawberry Shots (regular and zero sugar) performing well; vanilla flavor shots planned for autumn 2026; Americas 250 LTOs performing well and may return as annual Fourth of July promotions. </w:t>
      </w:r>
      <w:r>
        <w:rPr>
          <w:rFonts w:ascii="Calibri" w:hAnsi="Calibri"/>
          <w:i/>
          <w:color w:val="525866"/>
          <w:sz w:val="22"/>
        </w:rPr>
        <w:t>Implication:</w:t>
      </w:r>
      <w:r>
        <w:rPr>
          <w:rFonts w:ascii="Calibri" w:hAnsi="Calibri"/>
          <w:color w:val="525866"/>
          <w:sz w:val="22"/>
        </w:rPr>
        <w:t xml:space="preserve"> Heavy innovation calendar supports U.S. volume growth in Q2 and beyond.</w:t>
      </w:r>
    </w:p>
    <w:p>
      <w:pPr>
        <w:pStyle w:val="ListBullet"/>
        <w:ind w:left="360" w:hanging="360"/>
      </w:pPr>
      <w:r>
        <w:rPr>
          <w:rFonts w:ascii="Calibri" w:hAnsi="Calibri"/>
          <w:b/>
          <w:color w:val="525866"/>
          <w:sz w:val="22"/>
        </w:rPr>
        <w:t>Risk — PepsiCo Q2 2026 Convenience Channel Softness:</w:t>
      </w:r>
      <w:r>
        <w:rPr>
          <w:rFonts w:ascii="Calibri" w:hAnsi="Calibri"/>
          <w:color w:val="525866"/>
          <w:sz w:val="22"/>
        </w:rPr>
        <w:t xml:space="preserve"> PEP flagged U.S. convenience channel softness in Q2 2026 driven by gas price headwinds from the Iran war, with a “slowdown of the conversion of traffic into purchases” in impulse channels. </w:t>
      </w:r>
      <w:r>
        <w:rPr>
          <w:rFonts w:ascii="Calibri" w:hAnsi="Calibri"/>
          <w:i/>
          <w:color w:val="525866"/>
          <w:sz w:val="22"/>
        </w:rPr>
        <w:t>Implication:</w:t>
      </w:r>
      <w:r>
        <w:rPr>
          <w:rFonts w:ascii="Calibri" w:hAnsi="Calibri"/>
          <w:color w:val="525866"/>
          <w:sz w:val="22"/>
        </w:rPr>
        <w:t xml:space="preserve"> Potential headwind for Monster’s U.S. convenience store volumes in Q2 2026; the key risk to the domestic revenue consensus.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