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Monster Beverage Corporation (MNST)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Monster Beverage Corporation</w:t>
            </w:r>
          </w:p>
        </w:tc>
      </w:tr>
      <w:tr>
        <w:tc>
          <w:tcPr>
            <w:tcW w:type="dxa" w:w="4320"/>
          </w:tcPr>
          <w:p>
            <w:r>
              <w:rPr>
                <w:rFonts w:ascii="Calibri" w:hAnsi="Calibri"/>
                <w:b/>
                <w:sz w:val="22"/>
              </w:rPr>
              <w:t>Ticker</w:t>
            </w:r>
          </w:p>
        </w:tc>
        <w:tc>
          <w:tcPr>
            <w:tcW w:type="dxa" w:w="4320"/>
          </w:tcPr>
          <w:p>
            <w:r>
              <w:rPr>
                <w:rFonts w:ascii="Calibri" w:hAnsi="Calibri"/>
                <w:sz w:val="22"/>
              </w:rPr>
              <w:t>MNST (NASDAQ)</w:t>
            </w:r>
          </w:p>
        </w:tc>
      </w:tr>
      <w:tr>
        <w:tc>
          <w:tcPr>
            <w:tcW w:type="dxa" w:w="4320"/>
          </w:tcPr>
          <w:p>
            <w:r>
              <w:rPr>
                <w:rFonts w:ascii="Calibri" w:hAnsi="Calibri"/>
                <w:b/>
                <w:sz w:val="22"/>
              </w:rPr>
              <w:t>Upcoming 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after Q1's massive upside surprise, international momentum is accelerating, and the single biggest swing factor is whether </w:t>
      </w:r>
      <w:r>
        <w:rPr>
          <w:rFonts w:ascii="Calibri" w:hAnsi="Calibri"/>
          <w:b/>
          <w:color w:val="525866"/>
          <w:sz w:val="22"/>
        </w:rPr>
        <w:t>gross margin contraction</w:t>
      </w:r>
      <w:r>
        <w:rPr>
          <w:rFonts w:ascii="Calibri" w:hAnsi="Calibri"/>
          <w:color w:val="525866"/>
          <w:sz w:val="22"/>
        </w:rPr>
        <w:t xml:space="preserve"> from aluminum/tariff headwinds and geographic mix is worse than the ~100 bps the Street is already modeling.</w:t>
      </w:r>
    </w:p>
    <w:p>
      <w:r>
        <w:rPr>
          <w:rFonts w:ascii="Calibri" w:hAnsi="Calibri"/>
          <w:color w:val="525866"/>
          <w:sz w:val="22"/>
        </w:rPr>
        <w:t xml:space="preserve">Heading into Q2 2026, Monster's setup is constructive but nuanced. The bar is not demanding: consensus sits at $2.44B in net revenue and $0.581 in operating EPS, both representing meaningful step-ups from the prior year ($2.11B and $0.513, respectively) but well below the magnitude of Q1's ~27% revenue beat. Management's tone on the Q1 call was confident — April 2026 sales were already tracking ~24% above the prior year on a non-FX-adjusted basis, and the company characterized pricing actions taken in late 2025 as performing "as expected," with further pricing opportunities under active review both domestically and internationally. Estimate revisions have drifted modestly higher since the Q1 print (operating EPS consensus moved from ~$0.575 to ~$0.581), suggesting the Street has absorbed the Q1 beat without aggressively re-rating the forward bar. The stock has re-rated sharply — up ~26% since the May 7 earnings date and trading at ~38x NTM P/E — meaning the multiple already prices in execution, leaving limited room for disappointment. The key wildcard is </w:t>
      </w:r>
      <w:r>
        <w:rPr>
          <w:rFonts w:ascii="Calibri" w:hAnsi="Calibri"/>
          <w:b/>
          <w:color w:val="525866"/>
          <w:sz w:val="22"/>
        </w:rPr>
        <w:t>gross margin</w:t>
      </w:r>
      <w:r>
        <w:rPr>
          <w:rFonts w:ascii="Calibri" w:hAnsi="Calibri"/>
          <w:color w:val="525866"/>
          <w:sz w:val="22"/>
        </w:rPr>
        <w:t>: management guided to a "continued modest sequential increase" in aluminum/tariff costs through year-end, and any deterioration beyond the ~55% gross margin level reported in Q1 (already down ~150 bps YoY) could pressure the stock despite a revenue beat, while a stabilization or improvement would be a meaningful positive catalyst.</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Setup Dimension</w:t>
            </w:r>
          </w:p>
        </w:tc>
        <w:tc>
          <w:tcPr>
            <w:tcW w:type="dxa" w:w="4320"/>
          </w:tcPr>
          <w:p>
            <w:r>
              <w:rPr>
                <w:rFonts w:ascii="Calibri" w:hAnsi="Calibri"/>
                <w:b/>
                <w:sz w:val="22"/>
              </w:rPr>
              <w:t>Assessment</w:t>
            </w:r>
          </w:p>
        </w:tc>
      </w:tr>
      <w:tr>
        <w:tc>
          <w:tcPr>
            <w:tcW w:type="dxa" w:w="4320"/>
          </w:tcPr>
          <w:p>
            <w:r>
              <w:rPr>
                <w:rFonts w:ascii="Calibri" w:hAnsi="Calibri"/>
                <w:b/>
                <w:sz w:val="22"/>
              </w:rPr>
              <w:t>Bar</w:t>
            </w:r>
          </w:p>
        </w:tc>
        <w:tc>
          <w:tcPr>
            <w:tcW w:type="dxa" w:w="4320"/>
          </w:tcPr>
          <w:p>
            <w:r>
              <w:rPr>
                <w:rFonts w:ascii="Calibri" w:hAnsi="Calibri"/>
                <w:sz w:val="22"/>
              </w:rPr>
              <w:t>Manageable. Consensus revenue of $2.44B implies ~15% YoY growth vs. Q1's ~27% — a meaningful deceleration that the Street appears to have already baked in. Operating EPS of $0.581 is a low bar relative to Q1's $0.572 actual beat.</w:t>
            </w:r>
          </w:p>
        </w:tc>
      </w:tr>
      <w:tr>
        <w:tc>
          <w:tcPr>
            <w:tcW w:type="dxa" w:w="4320"/>
          </w:tcPr>
          <w:p>
            <w:r>
              <w:rPr>
                <w:rFonts w:ascii="Calibri" w:hAnsi="Calibri"/>
                <w:b/>
                <w:sz w:val="22"/>
              </w:rPr>
              <w:t>Guidance / Tone</w:t>
            </w:r>
          </w:p>
        </w:tc>
        <w:tc>
          <w:tcPr>
            <w:tcW w:type="dxa" w:w="4320"/>
          </w:tcPr>
          <w:p>
            <w:r>
              <w:rPr>
                <w:rFonts w:ascii="Calibri" w:hAnsi="Calibri"/>
                <w:sz w:val="22"/>
              </w:rPr>
              <w:t>Confident but measured. Management flagged April sales +24% YoY, pricing actions performing as expected, and out-of-orbit freight costs resolved. Aluminum/tariff headwinds acknowledged as ongoing through year-end.</w:t>
            </w:r>
          </w:p>
        </w:tc>
      </w:tr>
      <w:tr>
        <w:tc>
          <w:tcPr>
            <w:tcW w:type="dxa" w:w="4320"/>
          </w:tcPr>
          <w:p>
            <w:r>
              <w:rPr>
                <w:rFonts w:ascii="Calibri" w:hAnsi="Calibri"/>
                <w:b/>
                <w:sz w:val="22"/>
              </w:rPr>
              <w:t>Estimate Trajectory</w:t>
            </w:r>
          </w:p>
        </w:tc>
        <w:tc>
          <w:tcPr>
            <w:tcW w:type="dxa" w:w="4320"/>
          </w:tcPr>
          <w:p>
            <w:r>
              <w:rPr>
                <w:rFonts w:ascii="Calibri" w:hAnsi="Calibri"/>
                <w:sz w:val="22"/>
              </w:rPr>
              <w:t>Modestly higher since Q1 print. Q2 operating EPS consensus moved from ~$0.575 (post-Q1 baseline) to ~$0.581 currently. Revenue estimates similarly drifted up ~$11M. Revisions tracking guidance, not diverging.</w:t>
            </w:r>
          </w:p>
        </w:tc>
      </w:tr>
      <w:tr>
        <w:tc>
          <w:tcPr>
            <w:tcW w:type="dxa" w:w="4320"/>
          </w:tcPr>
          <w:p>
            <w:r>
              <w:rPr>
                <w:rFonts w:ascii="Calibri" w:hAnsi="Calibri"/>
                <w:b/>
                <w:sz w:val="22"/>
              </w:rPr>
              <w:t>Stock Setup</w:t>
            </w:r>
          </w:p>
        </w:tc>
        <w:tc>
          <w:tcPr>
            <w:tcW w:type="dxa" w:w="4320"/>
          </w:tcPr>
          <w:p>
            <w:r>
              <w:rPr>
                <w:rFonts w:ascii="Calibri" w:hAnsi="Calibri"/>
                <w:sz w:val="22"/>
              </w:rPr>
              <w:t>Stock up ~26% since last earnings, trading at ~38x NTM P/E vs. ~30x a year ago. Multiple expansion has done most of the work; a beat is partially priced in. Downside risk on a miss is asymmetric.</w:t>
            </w:r>
          </w:p>
        </w:tc>
      </w:tr>
      <w:tr>
        <w:tc>
          <w:tcPr>
            <w:tcW w:type="dxa" w:w="4320"/>
          </w:tcPr>
          <w:p>
            <w:r>
              <w:rPr>
                <w:rFonts w:ascii="Calibri" w:hAnsi="Calibri"/>
                <w:b/>
                <w:sz w:val="22"/>
              </w:rPr>
              <w:t>Wildcard</w:t>
            </w:r>
          </w:p>
        </w:tc>
        <w:tc>
          <w:tcPr>
            <w:tcW w:type="dxa" w:w="4320"/>
          </w:tcPr>
          <w:p>
            <w:r>
              <w:rPr>
                <w:rFonts w:ascii="Calibri" w:hAnsi="Calibri"/>
                <w:sz w:val="22"/>
              </w:rPr>
              <w:t>Gross margin trajectory. Any sequential deterioration beyond Q1's 55.0% level — driven by aluminum Midwest premium, geographic mix, or residual freight costs — could overshadow a revenue beat and pressure the stock.</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but the bigger swing factor is </w:t>
      </w:r>
      <w:r>
        <w:rPr>
          <w:rFonts w:ascii="Calibri" w:hAnsi="Calibri"/>
          <w:b/>
          <w:color w:val="525866"/>
          <w:sz w:val="22"/>
        </w:rPr>
        <w:t>gross margin</w:t>
      </w:r>
      <w:r>
        <w:rPr>
          <w:rFonts w:ascii="Calibri" w:hAnsi="Calibri"/>
          <w:color w:val="525866"/>
          <w:sz w:val="22"/>
        </w:rPr>
        <w:t xml:space="preserve"> — the Street is modeling ~$1.328B gross profit (implying ~54.5% margin), and any sequential improvement from Q1's 55.0% would be a positive surprise, while further deterioration would be the key risk. International revenue is the second swing factor, with consensus at $1.067B vs. Q1's $1.060B actual.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$2.353B</w:t>
            </w:r>
          </w:p>
        </w:tc>
        <w:tc>
          <w:tcPr>
            <w:tcW w:type="dxa" w:w="1234"/>
          </w:tcPr>
          <w:p>
            <w:r>
              <w:rPr>
                <w:rFonts w:ascii="Calibri" w:hAnsi="Calibri"/>
                <w:sz w:val="22"/>
              </w:rPr>
              <w:t>$2.112B</w:t>
            </w:r>
          </w:p>
        </w:tc>
        <w:tc>
          <w:tcPr>
            <w:tcW w:type="dxa" w:w="1234"/>
          </w:tcPr>
          <w:p>
            <w:r>
              <w:rPr>
                <w:rFonts w:ascii="Calibri" w:hAnsi="Calibri"/>
                <w:sz w:val="22"/>
              </w:rPr>
              <w:t>$2.437B</w:t>
            </w:r>
          </w:p>
        </w:tc>
        <w:tc>
          <w:tcPr>
            <w:tcW w:type="dxa" w:w="1234"/>
          </w:tcPr>
          <w:p>
            <w:r>
              <w:rPr>
                <w:rFonts w:ascii="Calibri" w:hAnsi="Calibri"/>
                <w:b/>
                <w:color w:val="30A46C"/>
                <w:sz w:val="22"/>
              </w:rPr>
              <w:t>+15.4%</w:t>
            </w:r>
          </w:p>
        </w:tc>
        <w:tc>
          <w:tcPr>
            <w:tcW w:type="dxa" w:w="1234"/>
          </w:tcPr>
          <w:p>
            <w:r>
              <w:rPr>
                <w:rFonts w:ascii="Calibri" w:hAnsi="Calibri"/>
                <w:sz w:val="22"/>
              </w:rPr>
              <w:t>April 2026 sales +24.4% YoY (non-FX adj.); no formal revenue guidance range provided</w:t>
            </w:r>
          </w:p>
        </w:tc>
        <w:tc>
          <w:tcPr>
            <w:tcW w:type="dxa" w:w="1234"/>
          </w:tcPr>
          <w:p>
            <w:r>
              <w:rPr>
                <w:rFonts w:ascii="Calibri" w:hAnsi="Calibri"/>
                <w:sz w:val="22"/>
              </w:rPr>
              <w:t>N/A — no formal guidance range</w:t>
            </w:r>
          </w:p>
        </w:tc>
      </w:tr>
      <w:tr>
        <w:tc>
          <w:tcPr>
            <w:tcW w:type="dxa" w:w="1234"/>
          </w:tcPr>
          <w:p>
            <w:r>
              <w:rPr>
                <w:rFonts w:ascii="Calibri" w:hAnsi="Calibri"/>
                <w:sz w:val="22"/>
              </w:rPr>
              <w:t>Gross Profit ($B)</w:t>
            </w:r>
          </w:p>
        </w:tc>
        <w:tc>
          <w:tcPr>
            <w:tcW w:type="dxa" w:w="1234"/>
          </w:tcPr>
          <w:p>
            <w:r>
              <w:rPr>
                <w:rFonts w:ascii="Calibri" w:hAnsi="Calibri"/>
                <w:sz w:val="22"/>
              </w:rPr>
              <w:t>$1.293B (55.0% margin)</w:t>
            </w:r>
          </w:p>
        </w:tc>
        <w:tc>
          <w:tcPr>
            <w:tcW w:type="dxa" w:w="1234"/>
          </w:tcPr>
          <w:p>
            <w:r>
              <w:rPr>
                <w:rFonts w:ascii="Calibri" w:hAnsi="Calibri"/>
                <w:sz w:val="22"/>
              </w:rPr>
              <w:t>$1.176B (55.7% margin)</w:t>
            </w:r>
          </w:p>
        </w:tc>
        <w:tc>
          <w:tcPr>
            <w:tcW w:type="dxa" w:w="1234"/>
          </w:tcPr>
          <w:p>
            <w:r>
              <w:rPr>
                <w:rFonts w:ascii="Calibri" w:hAnsi="Calibri"/>
                <w:sz w:val="22"/>
              </w:rPr>
              <w:t>$1.328B (~54.5% implied)</w:t>
            </w:r>
          </w:p>
        </w:tc>
        <w:tc>
          <w:tcPr>
            <w:tcW w:type="dxa" w:w="1234"/>
          </w:tcPr>
          <w:p>
            <w:r>
              <w:rPr>
                <w:rFonts w:ascii="Calibri" w:hAnsi="Calibri"/>
                <w:b/>
                <w:color w:val="E5484D"/>
                <w:sz w:val="22"/>
              </w:rPr>
              <w:t>+12.9%</w:t>
            </w:r>
          </w:p>
        </w:tc>
        <w:tc>
          <w:tcPr>
            <w:tcW w:type="dxa" w:w="1234"/>
          </w:tcPr>
          <w:p>
            <w:r>
              <w:rPr>
                <w:rFonts w:ascii="Calibri" w:hAnsi="Calibri"/>
                <w:sz w:val="22"/>
              </w:rPr>
              <w:t>Modest sequential cost increase expected through year-end from aluminum/Midwest premium; out-of-orbit freight costs resolved</w:t>
            </w:r>
          </w:p>
        </w:tc>
        <w:tc>
          <w:tcPr>
            <w:tcW w:type="dxa" w:w="1234"/>
          </w:tcPr>
          <w:p>
            <w:r>
              <w:rPr>
                <w:rFonts w:ascii="Calibri" w:hAnsi="Calibri"/>
                <w:sz w:val="22"/>
              </w:rPr>
              <w:t>N/A — no formal guidance range</w:t>
            </w:r>
          </w:p>
        </w:tc>
      </w:tr>
      <w:tr>
        <w:tc>
          <w:tcPr>
            <w:tcW w:type="dxa" w:w="1234"/>
          </w:tcPr>
          <w:p>
            <w:r>
              <w:rPr>
                <w:rFonts w:ascii="Calibri" w:hAnsi="Calibri"/>
                <w:sz w:val="22"/>
              </w:rPr>
              <w:t>Operating EPS (Diluted, Adj.)</w:t>
            </w:r>
          </w:p>
        </w:tc>
        <w:tc>
          <w:tcPr>
            <w:tcW w:type="dxa" w:w="1234"/>
          </w:tcPr>
          <w:p>
            <w:r>
              <w:rPr>
                <w:rFonts w:ascii="Calibri" w:hAnsi="Calibri"/>
                <w:sz w:val="22"/>
              </w:rPr>
              <w:t>$0.572</w:t>
            </w:r>
          </w:p>
        </w:tc>
        <w:tc>
          <w:tcPr>
            <w:tcW w:type="dxa" w:w="1234"/>
          </w:tcPr>
          <w:p>
            <w:r>
              <w:rPr>
                <w:rFonts w:ascii="Calibri" w:hAnsi="Calibri"/>
                <w:sz w:val="22"/>
              </w:rPr>
              <w:t>$0.513</w:t>
            </w:r>
          </w:p>
        </w:tc>
        <w:tc>
          <w:tcPr>
            <w:tcW w:type="dxa" w:w="1234"/>
          </w:tcPr>
          <w:p>
            <w:r>
              <w:rPr>
                <w:rFonts w:ascii="Calibri" w:hAnsi="Calibri"/>
                <w:sz w:val="22"/>
              </w:rPr>
              <w:t>$0.581</w:t>
            </w:r>
          </w:p>
        </w:tc>
        <w:tc>
          <w:tcPr>
            <w:tcW w:type="dxa" w:w="1234"/>
          </w:tcPr>
          <w:p>
            <w:r>
              <w:rPr>
                <w:rFonts w:ascii="Calibri" w:hAnsi="Calibri"/>
                <w:b/>
                <w:color w:val="30A46C"/>
                <w:sz w:val="22"/>
              </w:rPr>
              <w:t>+13.3%</w:t>
            </w:r>
          </w:p>
        </w:tc>
        <w:tc>
          <w:tcPr>
            <w:tcW w:type="dxa" w:w="1234"/>
          </w:tcPr>
          <w:p>
            <w:r>
              <w:rPr>
                <w:rFonts w:ascii="Calibri" w:hAnsi="Calibri"/>
                <w:sz w:val="22"/>
              </w:rPr>
              <w:t>No formal EPS guidance; pricing actions performing as expected</w:t>
            </w:r>
          </w:p>
        </w:tc>
        <w:tc>
          <w:tcPr>
            <w:tcW w:type="dxa" w:w="1234"/>
          </w:tcPr>
          <w:p>
            <w:r>
              <w:rPr>
                <w:rFonts w:ascii="Calibri" w:hAnsi="Calibri"/>
                <w:sz w:val="22"/>
              </w:rPr>
              <w:t>N/A — no formal guidance range</w:t>
            </w:r>
          </w:p>
        </w:tc>
      </w:tr>
      <w:tr>
        <w:tc>
          <w:tcPr>
            <w:tcW w:type="dxa" w:w="1234"/>
          </w:tcPr>
          <w:p>
            <w:r>
              <w:rPr>
                <w:rFonts w:ascii="Calibri" w:hAnsi="Calibri"/>
                <w:sz w:val="22"/>
              </w:rPr>
              <w:t>Case Volume (M cases)</w:t>
            </w:r>
          </w:p>
        </w:tc>
        <w:tc>
          <w:tcPr>
            <w:tcW w:type="dxa" w:w="1234"/>
          </w:tcPr>
          <w:p>
            <w:r>
              <w:rPr>
                <w:rFonts w:ascii="Calibri" w:hAnsi="Calibri"/>
                <w:sz w:val="22"/>
              </w:rPr>
              <w:t>274.5M</w:t>
            </w:r>
          </w:p>
        </w:tc>
        <w:tc>
          <w:tcPr>
            <w:tcW w:type="dxa" w:w="1234"/>
          </w:tcPr>
          <w:p>
            <w:r>
              <w:rPr>
                <w:rFonts w:ascii="Calibri" w:hAnsi="Calibri"/>
                <w:sz w:val="22"/>
              </w:rPr>
              <w:t>249.3M</w:t>
            </w:r>
          </w:p>
        </w:tc>
        <w:tc>
          <w:tcPr>
            <w:tcW w:type="dxa" w:w="1234"/>
          </w:tcPr>
          <w:p>
            <w:r>
              <w:rPr>
                <w:rFonts w:ascii="Calibri" w:hAnsi="Calibri"/>
                <w:sz w:val="22"/>
              </w:rPr>
              <w:t>281.6M</w:t>
            </w:r>
          </w:p>
        </w:tc>
        <w:tc>
          <w:tcPr>
            <w:tcW w:type="dxa" w:w="1234"/>
          </w:tcPr>
          <w:p>
            <w:r>
              <w:rPr>
                <w:rFonts w:ascii="Calibri" w:hAnsi="Calibri"/>
                <w:b/>
                <w:color w:val="30A46C"/>
                <w:sz w:val="22"/>
              </w:rPr>
              <w:t>+12.9%</w:t>
            </w:r>
          </w:p>
        </w:tc>
        <w:tc>
          <w:tcPr>
            <w:tcW w:type="dxa" w:w="1234"/>
          </w:tcPr>
          <w:p>
            <w:r>
              <w:rPr>
                <w:rFonts w:ascii="Calibri" w:hAnsi="Calibri"/>
                <w:sz w:val="22"/>
              </w:rPr>
              <w:t>No formal volume guidance; multipack/club channel expansion ongoing</w:t>
            </w:r>
          </w:p>
        </w:tc>
        <w:tc>
          <w:tcPr>
            <w:tcW w:type="dxa" w:w="1234"/>
          </w:tcPr>
          <w:p>
            <w:r>
              <w:rPr>
                <w:rFonts w:ascii="Calibri" w:hAnsi="Calibri"/>
                <w:sz w:val="22"/>
              </w:rPr>
              <w:t>N/A — no formal guidance range</w:t>
            </w:r>
          </w:p>
        </w:tc>
      </w:tr>
      <w:tr>
        <w:tc>
          <w:tcPr>
            <w:tcW w:type="dxa" w:w="1234"/>
          </w:tcPr>
          <w:p>
            <w:r>
              <w:rPr>
                <w:rFonts w:ascii="Calibri" w:hAnsi="Calibri"/>
                <w:sz w:val="22"/>
              </w:rPr>
              <w:t>International Revenue ($B)</w:t>
            </w:r>
          </w:p>
        </w:tc>
        <w:tc>
          <w:tcPr>
            <w:tcW w:type="dxa" w:w="1234"/>
          </w:tcPr>
          <w:p>
            <w:r>
              <w:rPr>
                <w:rFonts w:ascii="Calibri" w:hAnsi="Calibri"/>
                <w:sz w:val="22"/>
              </w:rPr>
              <w:t>$1.060B (~45% of sales)</w:t>
            </w:r>
          </w:p>
        </w:tc>
        <w:tc>
          <w:tcPr>
            <w:tcW w:type="dxa" w:w="1234"/>
          </w:tcPr>
          <w:p>
            <w:r>
              <w:rPr>
                <w:rFonts w:ascii="Calibri" w:hAnsi="Calibri"/>
                <w:sz w:val="22"/>
              </w:rPr>
              <w:t>$0.864B (~41% of sales)</w:t>
            </w:r>
          </w:p>
        </w:tc>
        <w:tc>
          <w:tcPr>
            <w:tcW w:type="dxa" w:w="1234"/>
          </w:tcPr>
          <w:p>
            <w:r>
              <w:rPr>
                <w:rFonts w:ascii="Calibri" w:hAnsi="Calibri"/>
                <w:sz w:val="22"/>
              </w:rPr>
              <w:t>$1.067B</w:t>
            </w:r>
          </w:p>
        </w:tc>
        <w:tc>
          <w:tcPr>
            <w:tcW w:type="dxa" w:w="1234"/>
          </w:tcPr>
          <w:p>
            <w:r>
              <w:rPr>
                <w:rFonts w:ascii="Calibri" w:hAnsi="Calibri"/>
                <w:b/>
                <w:color w:val="30A46C"/>
                <w:sz w:val="22"/>
              </w:rPr>
              <w:t>+23.5%</w:t>
            </w:r>
          </w:p>
        </w:tc>
        <w:tc>
          <w:tcPr>
            <w:tcW w:type="dxa" w:w="1234"/>
          </w:tcPr>
          <w:p>
            <w:r>
              <w:rPr>
                <w:rFonts w:ascii="Calibri" w:hAnsi="Calibri"/>
                <w:sz w:val="22"/>
              </w:rPr>
              <w:t>Continued strong international growth expected; EMEA, China, India all growing double-digits or faster</w:t>
            </w:r>
          </w:p>
        </w:tc>
        <w:tc>
          <w:tcPr>
            <w:tcW w:type="dxa" w:w="1234"/>
          </w:tcPr>
          <w:p>
            <w:r>
              <w:rPr>
                <w:rFonts w:ascii="Calibri" w:hAnsi="Calibri"/>
                <w:sz w:val="22"/>
              </w:rPr>
              <w:t>N/A — no formal guidance range</w:t>
            </w:r>
          </w:p>
        </w:tc>
      </w:tr>
    </w:tbl>
    <w:p>
      <w:r>
        <w:rPr>
          <w:rFonts w:ascii="Calibri" w:hAnsi="Calibri"/>
          <w:i/>
          <w:color w:val="525866"/>
          <w:sz w:val="22"/>
        </w:rPr>
        <w:t>Sources: Visible Alpha consensus and actuals data; MNST Q1 2026 earnings call transcript (May 7, 2026); Deutsche Bank Global Consumer Conference transcript (June 4, 2026). Note: All figures are pre-split (2-for-1 stock split record date July 24, 2026; distribution date August 10, 2026; split-adjusted trading begins August 11, 2026). EPS figures above reflect pre-split basis.</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$1.901B</w:t>
            </w:r>
          </w:p>
        </w:tc>
        <w:tc>
          <w:tcPr>
            <w:tcW w:type="dxa" w:w="1728"/>
          </w:tcPr>
          <w:p>
            <w:r>
              <w:rPr>
                <w:rFonts w:ascii="Calibri" w:hAnsi="Calibri"/>
                <w:sz w:val="22"/>
              </w:rPr>
              <w:t>$2.020B</w:t>
            </w:r>
          </w:p>
        </w:tc>
        <w:tc>
          <w:tcPr>
            <w:tcW w:type="dxa" w:w="1728"/>
          </w:tcPr>
          <w:p>
            <w:r>
              <w:rPr>
                <w:rFonts w:ascii="Calibri" w:hAnsi="Calibri"/>
                <w:b/>
                <w:color w:val="E5484D"/>
                <w:sz w:val="22"/>
              </w:rPr>
              <w:t>-5.9%</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$1.881B</w:t>
            </w:r>
          </w:p>
        </w:tc>
        <w:tc>
          <w:tcPr>
            <w:tcW w:type="dxa" w:w="1728"/>
          </w:tcPr>
          <w:p>
            <w:r>
              <w:rPr>
                <w:rFonts w:ascii="Calibri" w:hAnsi="Calibri"/>
                <w:sz w:val="22"/>
              </w:rPr>
              <w:t>$1.913B</w:t>
            </w:r>
          </w:p>
        </w:tc>
        <w:tc>
          <w:tcPr>
            <w:tcW w:type="dxa" w:w="1728"/>
          </w:tcPr>
          <w:p>
            <w:r>
              <w:rPr>
                <w:rFonts w:ascii="Calibri" w:hAnsi="Calibri"/>
                <w:b/>
                <w:color w:val="E5484D"/>
                <w:sz w:val="22"/>
              </w:rPr>
              <w:t>-1.7%</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$1.812B</w:t>
            </w:r>
          </w:p>
        </w:tc>
        <w:tc>
          <w:tcPr>
            <w:tcW w:type="dxa" w:w="1728"/>
          </w:tcPr>
          <w:p>
            <w:r>
              <w:rPr>
                <w:rFonts w:ascii="Calibri" w:hAnsi="Calibri"/>
                <w:sz w:val="22"/>
              </w:rPr>
              <w:t>$1.800B</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$1.855B</w:t>
            </w:r>
          </w:p>
        </w:tc>
        <w:tc>
          <w:tcPr>
            <w:tcW w:type="dxa" w:w="1728"/>
          </w:tcPr>
          <w:p>
            <w:r>
              <w:rPr>
                <w:rFonts w:ascii="Calibri" w:hAnsi="Calibri"/>
                <w:sz w:val="22"/>
              </w:rPr>
              <w:t>$1.979B</w:t>
            </w:r>
          </w:p>
        </w:tc>
        <w:tc>
          <w:tcPr>
            <w:tcW w:type="dxa" w:w="1728"/>
          </w:tcPr>
          <w:p>
            <w:r>
              <w:rPr>
                <w:rFonts w:ascii="Calibri" w:hAnsi="Calibri"/>
                <w:b/>
                <w:color w:val="E5484D"/>
                <w:sz w:val="22"/>
              </w:rPr>
              <w:t>-6.3%</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$2.112B</w:t>
            </w:r>
          </w:p>
        </w:tc>
        <w:tc>
          <w:tcPr>
            <w:tcW w:type="dxa" w:w="1728"/>
          </w:tcPr>
          <w:p>
            <w:r>
              <w:rPr>
                <w:rFonts w:ascii="Calibri" w:hAnsi="Calibri"/>
                <w:sz w:val="22"/>
              </w:rPr>
              <w:t>$2.082B</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$2.197B</w:t>
            </w:r>
          </w:p>
        </w:tc>
        <w:tc>
          <w:tcPr>
            <w:tcW w:type="dxa" w:w="1728"/>
          </w:tcPr>
          <w:p>
            <w:r>
              <w:rPr>
                <w:rFonts w:ascii="Calibri" w:hAnsi="Calibri"/>
                <w:sz w:val="22"/>
              </w:rPr>
              <w:t>$2.106B</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$2.131B</w:t>
            </w:r>
          </w:p>
        </w:tc>
        <w:tc>
          <w:tcPr>
            <w:tcW w:type="dxa" w:w="1728"/>
          </w:tcPr>
          <w:p>
            <w:r>
              <w:rPr>
                <w:rFonts w:ascii="Calibri" w:hAnsi="Calibri"/>
                <w:sz w:val="22"/>
              </w:rPr>
              <w:t>$2.038B</w:t>
            </w:r>
          </w:p>
        </w:tc>
        <w:tc>
          <w:tcPr>
            <w:tcW w:type="dxa" w:w="1728"/>
          </w:tcPr>
          <w:p>
            <w:r>
              <w:rPr>
                <w:rFonts w:ascii="Calibri" w:hAnsi="Calibri"/>
                <w:b/>
                <w:color w:val="30A46C"/>
                <w:sz w:val="22"/>
              </w:rPr>
              <w:t>+4.6%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$2.353B</w:t>
            </w:r>
          </w:p>
        </w:tc>
        <w:tc>
          <w:tcPr>
            <w:tcW w:type="dxa" w:w="1728"/>
          </w:tcPr>
          <w:p>
            <w:r>
              <w:rPr>
                <w:rFonts w:ascii="Calibri" w:hAnsi="Calibri"/>
                <w:sz w:val="22"/>
              </w:rPr>
              <w:t>$2.152B</w:t>
            </w:r>
          </w:p>
        </w:tc>
        <w:tc>
          <w:tcPr>
            <w:tcW w:type="dxa" w:w="1728"/>
          </w:tcPr>
          <w:p>
            <w:r>
              <w:rPr>
                <w:rFonts w:ascii="Calibri" w:hAnsi="Calibri"/>
                <w:b/>
                <w:color w:val="30A46C"/>
                <w:sz w:val="22"/>
              </w:rPr>
              <w:t>+9.3%</w:t>
            </w:r>
          </w:p>
        </w:tc>
        <w:tc>
          <w:tcPr>
            <w:tcW w:type="dxa" w:w="1728"/>
          </w:tcPr>
          <w:p>
            <w:r>
              <w:rPr>
                <w:rFonts w:ascii="Calibri" w:hAnsi="Calibri"/>
                <w:sz w:val="22"/>
              </w:rPr>
              <w:t>BEAT</w:t>
            </w:r>
          </w:p>
        </w:tc>
      </w:tr>
    </w:tbl>
    <w:p>
      <w:pPr>
        <w:pStyle w:val="Heading4"/>
      </w:pPr>
      <w:r>
        <w:rPr>
          <w:rFonts w:ascii="Calibri" w:hAnsi="Calibri"/>
          <w:b/>
          <w:color w:val="3B4259"/>
          <w:sz w:val="22"/>
        </w:rPr>
        <w:t>Operating EPS (Diluted,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$0.410</w:t>
            </w:r>
          </w:p>
        </w:tc>
        <w:tc>
          <w:tcPr>
            <w:tcW w:type="dxa" w:w="1728"/>
          </w:tcPr>
          <w:p>
            <w:r>
              <w:rPr>
                <w:rFonts w:ascii="Calibri" w:hAnsi="Calibri"/>
                <w:sz w:val="22"/>
              </w:rPr>
              <w:t>$0.452</w:t>
            </w:r>
          </w:p>
        </w:tc>
        <w:tc>
          <w:tcPr>
            <w:tcW w:type="dxa" w:w="1728"/>
          </w:tcPr>
          <w:p>
            <w:r>
              <w:rPr>
                <w:rFonts w:ascii="Calibri" w:hAnsi="Calibri"/>
                <w:b/>
                <w:color w:val="E5484D"/>
                <w:sz w:val="22"/>
              </w:rPr>
              <w:t>-9.3%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$0.399</w:t>
            </w:r>
          </w:p>
        </w:tc>
        <w:tc>
          <w:tcPr>
            <w:tcW w:type="dxa" w:w="1728"/>
          </w:tcPr>
          <w:p>
            <w:r>
              <w:rPr>
                <w:rFonts w:ascii="Calibri" w:hAnsi="Calibri"/>
                <w:sz w:val="22"/>
              </w:rPr>
              <w:t>$0.426</w:t>
            </w:r>
          </w:p>
        </w:tc>
        <w:tc>
          <w:tcPr>
            <w:tcW w:type="dxa" w:w="1728"/>
          </w:tcPr>
          <w:p>
            <w:r>
              <w:rPr>
                <w:rFonts w:ascii="Calibri" w:hAnsi="Calibri"/>
                <w:b/>
                <w:color w:val="E5484D"/>
                <w:sz w:val="22"/>
              </w:rPr>
              <w:t>-6.3%</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$0.383</w:t>
            </w:r>
          </w:p>
        </w:tc>
        <w:tc>
          <w:tcPr>
            <w:tcW w:type="dxa" w:w="1728"/>
          </w:tcPr>
          <w:p>
            <w:r>
              <w:rPr>
                <w:rFonts w:ascii="Calibri" w:hAnsi="Calibri"/>
                <w:sz w:val="22"/>
              </w:rPr>
              <w:t>$0.409</w:t>
            </w:r>
          </w:p>
        </w:tc>
        <w:tc>
          <w:tcPr>
            <w:tcW w:type="dxa" w:w="1728"/>
          </w:tcPr>
          <w:p>
            <w:r>
              <w:rPr>
                <w:rFonts w:ascii="Calibri" w:hAnsi="Calibri"/>
                <w:b/>
                <w:color w:val="E5484D"/>
                <w:sz w:val="22"/>
              </w:rPr>
              <w:t>-6.4%</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$0.451</w:t>
            </w:r>
          </w:p>
        </w:tc>
        <w:tc>
          <w:tcPr>
            <w:tcW w:type="dxa" w:w="1728"/>
          </w:tcPr>
          <w:p>
            <w:r>
              <w:rPr>
                <w:rFonts w:ascii="Calibri" w:hAnsi="Calibri"/>
                <w:sz w:val="22"/>
              </w:rPr>
              <w:t>$0.461</w:t>
            </w:r>
          </w:p>
        </w:tc>
        <w:tc>
          <w:tcPr>
            <w:tcW w:type="dxa" w:w="1728"/>
          </w:tcPr>
          <w:p>
            <w:r>
              <w:rPr>
                <w:rFonts w:ascii="Calibri" w:hAnsi="Calibri"/>
                <w:b/>
                <w:color w:val="E5484D"/>
                <w:sz w:val="22"/>
              </w:rPr>
              <w:t>-2.2%</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$0.513</w:t>
            </w:r>
          </w:p>
        </w:tc>
        <w:tc>
          <w:tcPr>
            <w:tcW w:type="dxa" w:w="1728"/>
          </w:tcPr>
          <w:p>
            <w:r>
              <w:rPr>
                <w:rFonts w:ascii="Calibri" w:hAnsi="Calibri"/>
                <w:sz w:val="22"/>
              </w:rPr>
              <w:t>$0.479</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$0.542</w:t>
            </w:r>
          </w:p>
        </w:tc>
        <w:tc>
          <w:tcPr>
            <w:tcW w:type="dxa" w:w="1728"/>
          </w:tcPr>
          <w:p>
            <w:r>
              <w:rPr>
                <w:rFonts w:ascii="Calibri" w:hAnsi="Calibri"/>
                <w:sz w:val="22"/>
              </w:rPr>
              <w:t>$0.480</w:t>
            </w:r>
          </w:p>
        </w:tc>
        <w:tc>
          <w:tcPr>
            <w:tcW w:type="dxa" w:w="1728"/>
          </w:tcPr>
          <w:p>
            <w:r>
              <w:rPr>
                <w:rFonts w:ascii="Calibri" w:hAnsi="Calibri"/>
                <w:b/>
                <w:color w:val="30A46C"/>
                <w:sz w:val="22"/>
              </w:rPr>
              <w:t>+12.9%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$0.495</w:t>
            </w:r>
          </w:p>
        </w:tc>
        <w:tc>
          <w:tcPr>
            <w:tcW w:type="dxa" w:w="1728"/>
          </w:tcPr>
          <w:p>
            <w:r>
              <w:rPr>
                <w:rFonts w:ascii="Calibri" w:hAnsi="Calibri"/>
                <w:sz w:val="22"/>
              </w:rPr>
              <w:t>$0.478</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$0.572</w:t>
            </w:r>
          </w:p>
        </w:tc>
        <w:tc>
          <w:tcPr>
            <w:tcW w:type="dxa" w:w="1728"/>
          </w:tcPr>
          <w:p>
            <w:r>
              <w:rPr>
                <w:rFonts w:ascii="Calibri" w:hAnsi="Calibri"/>
                <w:sz w:val="22"/>
              </w:rPr>
              <w:t>$0.519</w:t>
            </w:r>
          </w:p>
        </w:tc>
        <w:tc>
          <w:tcPr>
            <w:tcW w:type="dxa" w:w="1728"/>
          </w:tcPr>
          <w:p>
            <w:r>
              <w:rPr>
                <w:rFonts w:ascii="Calibri" w:hAnsi="Calibri"/>
                <w:b/>
                <w:color w:val="30A46C"/>
                <w:sz w:val="22"/>
              </w:rPr>
              <w:t>+10.2%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MNST missed revenue and EPS consensus in four consecutive quarters (Q2 2024 through Q1 2025) as the U.S. market share narrative weighed on estimates, but has beaten on both metrics in each of the last four quarters (Q2 2025 through Q1 2026), with the beats accelerating sharply — Q1 2026's +9.3% revenue beat was the largest in the trailing eight quarters. The Street has historically under-modeled international growth, which has been the primary source of upside.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drifted modestly higher since the Q1 print — revenue up ~$11M and operating EPS up ~$0.006 for Q2 — tracking management's constructive tone without aggressively re-rating the bar. The </w:t>
      </w:r>
      <w:r>
        <w:rPr>
          <w:rFonts w:ascii="Calibri" w:hAnsi="Calibri"/>
          <w:b/>
          <w:color w:val="525866"/>
          <w:sz w:val="22"/>
        </w:rPr>
        <w:t>gap between April's +24% sales trend and the ~15% YoY consensus estimate</w:t>
      </w:r>
      <w:r>
        <w:rPr>
          <w:rFonts w:ascii="Calibri" w:hAnsi="Calibri"/>
          <w:color w:val="525866"/>
          <w:sz w:val="22"/>
        </w:rPr>
        <w:t xml:space="preserve"> represents potential upside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 / Mgmt Tone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$2.425B</w:t>
            </w:r>
          </w:p>
        </w:tc>
        <w:tc>
          <w:tcPr>
            <w:tcW w:type="dxa" w:w="1080"/>
          </w:tcPr>
          <w:p>
            <w:r>
              <w:rPr>
                <w:rFonts w:ascii="Calibri" w:hAnsi="Calibri"/>
                <w:sz w:val="22"/>
              </w:rPr>
              <w:t>$2.437B</w:t>
            </w:r>
          </w:p>
        </w:tc>
        <w:tc>
          <w:tcPr>
            <w:tcW w:type="dxa" w:w="1080"/>
          </w:tcPr>
          <w:p>
            <w:r>
              <w:rPr>
                <w:rFonts w:ascii="Calibri" w:hAnsi="Calibri"/>
                <w:b/>
                <w:color w:val="30A46C"/>
                <w:sz w:val="22"/>
              </w:rPr>
              <w:t>+0.5%</w:t>
            </w:r>
          </w:p>
        </w:tc>
        <w:tc>
          <w:tcPr>
            <w:tcW w:type="dxa" w:w="1080"/>
          </w:tcPr>
          <w:p>
            <w:r>
              <w:rPr>
                <w:rFonts w:ascii="Calibri" w:hAnsi="Calibri"/>
                <w:sz w:val="22"/>
              </w:rPr>
              <w:t>No formal range; April +24.4% YoY trend</w:t>
            </w:r>
          </w:p>
        </w:tc>
        <w:tc>
          <w:tcPr>
            <w:tcW w:type="dxa" w:w="1080"/>
          </w:tcPr>
          <w:p>
            <w:r>
              <w:rPr>
                <w:rFonts w:ascii="Calibri" w:hAnsi="Calibri"/>
                <w:sz w:val="22"/>
              </w:rPr>
              <w:t>Unchanged; DB Conference reiterated strong momentum</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r>
        <w:tc>
          <w:tcPr>
            <w:tcW w:type="dxa" w:w="1080"/>
          </w:tcPr>
          <w:p>
            <w:r>
              <w:rPr>
                <w:rFonts w:ascii="Calibri" w:hAnsi="Calibri"/>
                <w:sz w:val="22"/>
              </w:rPr>
              <w:t>Net Revenue — FY 2026</w:t>
            </w:r>
          </w:p>
        </w:tc>
        <w:tc>
          <w:tcPr>
            <w:tcW w:type="dxa" w:w="1080"/>
          </w:tcPr>
          <w:p>
            <w:r>
              <w:rPr>
                <w:rFonts w:ascii="Calibri" w:hAnsi="Calibri"/>
                <w:sz w:val="22"/>
              </w:rPr>
              <w:t>$9.578B</w:t>
            </w:r>
          </w:p>
        </w:tc>
        <w:tc>
          <w:tcPr>
            <w:tcW w:type="dxa" w:w="1080"/>
          </w:tcPr>
          <w:p>
            <w:r>
              <w:rPr>
                <w:rFonts w:ascii="Calibri" w:hAnsi="Calibri"/>
                <w:sz w:val="22"/>
              </w:rPr>
              <w:t>$9.589B</w:t>
            </w:r>
          </w:p>
        </w:tc>
        <w:tc>
          <w:tcPr>
            <w:tcW w:type="dxa" w:w="1080"/>
          </w:tcPr>
          <w:p>
            <w:r>
              <w:rPr>
                <w:rFonts w:ascii="Calibri" w:hAnsi="Calibri"/>
                <w:b/>
                <w:color w:val="30A46C"/>
                <w:sz w:val="22"/>
              </w:rPr>
              <w:t>+0.1%</w:t>
            </w:r>
          </w:p>
        </w:tc>
        <w:tc>
          <w:tcPr>
            <w:tcW w:type="dxa" w:w="1080"/>
          </w:tcPr>
          <w:p>
            <w:r>
              <w:rPr>
                <w:rFonts w:ascii="Calibri" w:hAnsi="Calibri"/>
                <w:sz w:val="22"/>
              </w:rPr>
              <w:t>No formal range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r>
        <w:tc>
          <w:tcPr>
            <w:tcW w:type="dxa" w:w="1080"/>
          </w:tcPr>
          <w:p>
            <w:r>
              <w:rPr>
                <w:rFonts w:ascii="Calibri" w:hAnsi="Calibri"/>
                <w:sz w:val="22"/>
              </w:rPr>
              <w:t>Operating EPS — Q2 2026</w:t>
            </w:r>
          </w:p>
        </w:tc>
        <w:tc>
          <w:tcPr>
            <w:tcW w:type="dxa" w:w="1080"/>
          </w:tcPr>
          <w:p>
            <w:r>
              <w:rPr>
                <w:rFonts w:ascii="Calibri" w:hAnsi="Calibri"/>
                <w:sz w:val="22"/>
              </w:rPr>
              <w:t>$0.575</w:t>
            </w:r>
          </w:p>
        </w:tc>
        <w:tc>
          <w:tcPr>
            <w:tcW w:type="dxa" w:w="1080"/>
          </w:tcPr>
          <w:p>
            <w:r>
              <w:rPr>
                <w:rFonts w:ascii="Calibri" w:hAnsi="Calibri"/>
                <w:sz w:val="22"/>
              </w:rPr>
              <w:t>$0.581</w:t>
            </w:r>
          </w:p>
        </w:tc>
        <w:tc>
          <w:tcPr>
            <w:tcW w:type="dxa" w:w="1080"/>
          </w:tcPr>
          <w:p>
            <w:r>
              <w:rPr>
                <w:rFonts w:ascii="Calibri" w:hAnsi="Calibri"/>
                <w:b/>
                <w:color w:val="30A46C"/>
                <w:sz w:val="22"/>
              </w:rPr>
              <w:t>+1.0%</w:t>
            </w:r>
          </w:p>
        </w:tc>
        <w:tc>
          <w:tcPr>
            <w:tcW w:type="dxa" w:w="1080"/>
          </w:tcPr>
          <w:p>
            <w:r>
              <w:rPr>
                <w:rFonts w:ascii="Calibri" w:hAnsi="Calibri"/>
                <w:sz w:val="22"/>
              </w:rPr>
              <w:t>No formal range; pricing actions performing as expected</w:t>
            </w:r>
          </w:p>
        </w:tc>
        <w:tc>
          <w:tcPr>
            <w:tcW w:type="dxa" w:w="1080"/>
          </w:tcPr>
          <w:p>
            <w:r>
              <w:rPr>
                <w:rFonts w:ascii="Calibri" w:hAnsi="Calibri"/>
                <w:sz w:val="22"/>
              </w:rPr>
              <w:t>Unchanged; modest sequential cost increase expected</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r>
        <w:tc>
          <w:tcPr>
            <w:tcW w:type="dxa" w:w="1080"/>
          </w:tcPr>
          <w:p>
            <w:r>
              <w:rPr>
                <w:rFonts w:ascii="Calibri" w:hAnsi="Calibri"/>
                <w:sz w:val="22"/>
              </w:rPr>
              <w:t>Operating EPS — FY 2026</w:t>
            </w:r>
          </w:p>
        </w:tc>
        <w:tc>
          <w:tcPr>
            <w:tcW w:type="dxa" w:w="1080"/>
          </w:tcPr>
          <w:p>
            <w:r>
              <w:rPr>
                <w:rFonts w:ascii="Calibri" w:hAnsi="Calibri"/>
                <w:sz w:val="22"/>
              </w:rPr>
              <w:t>$2.286</w:t>
            </w:r>
          </w:p>
        </w:tc>
        <w:tc>
          <w:tcPr>
            <w:tcW w:type="dxa" w:w="1080"/>
          </w:tcPr>
          <w:p>
            <w:r>
              <w:rPr>
                <w:rFonts w:ascii="Calibri" w:hAnsi="Calibri"/>
                <w:sz w:val="22"/>
              </w:rPr>
              <w:t>$2.296</w:t>
            </w:r>
          </w:p>
        </w:tc>
        <w:tc>
          <w:tcPr>
            <w:tcW w:type="dxa" w:w="1080"/>
          </w:tcPr>
          <w:p>
            <w:r>
              <w:rPr>
                <w:rFonts w:ascii="Calibri" w:hAnsi="Calibri"/>
                <w:b/>
                <w:color w:val="30A46C"/>
                <w:sz w:val="22"/>
              </w:rPr>
              <w:t>+0.4%</w:t>
            </w:r>
          </w:p>
        </w:tc>
        <w:tc>
          <w:tcPr>
            <w:tcW w:type="dxa" w:w="1080"/>
          </w:tcPr>
          <w:p>
            <w:r>
              <w:rPr>
                <w:rFonts w:ascii="Calibri" w:hAnsi="Calibri"/>
                <w:sz w:val="22"/>
              </w:rPr>
              <w:t>No formal range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r>
        <w:tc>
          <w:tcPr>
            <w:tcW w:type="dxa" w:w="1080"/>
          </w:tcPr>
          <w:p>
            <w:r>
              <w:rPr>
                <w:rFonts w:ascii="Calibri" w:hAnsi="Calibri"/>
                <w:sz w:val="22"/>
              </w:rPr>
              <w:t>Gross Profit — Q2 2026</w:t>
            </w:r>
          </w:p>
        </w:tc>
        <w:tc>
          <w:tcPr>
            <w:tcW w:type="dxa" w:w="1080"/>
          </w:tcPr>
          <w:p>
            <w:r>
              <w:rPr>
                <w:rFonts w:ascii="Calibri" w:hAnsi="Calibri"/>
                <w:sz w:val="22"/>
              </w:rPr>
              <w:t>$1.321B</w:t>
            </w:r>
          </w:p>
        </w:tc>
        <w:tc>
          <w:tcPr>
            <w:tcW w:type="dxa" w:w="1080"/>
          </w:tcPr>
          <w:p>
            <w:r>
              <w:rPr>
                <w:rFonts w:ascii="Calibri" w:hAnsi="Calibri"/>
                <w:sz w:val="22"/>
              </w:rPr>
              <w:t>$1.328B</w:t>
            </w:r>
          </w:p>
        </w:tc>
        <w:tc>
          <w:tcPr>
            <w:tcW w:type="dxa" w:w="1080"/>
          </w:tcPr>
          <w:p>
            <w:r>
              <w:rPr>
                <w:rFonts w:ascii="Calibri" w:hAnsi="Calibri"/>
                <w:b/>
                <w:color w:val="30A46C"/>
                <w:sz w:val="22"/>
              </w:rPr>
              <w:t>+0.5%</w:t>
            </w:r>
          </w:p>
        </w:tc>
        <w:tc>
          <w:tcPr>
            <w:tcW w:type="dxa" w:w="1080"/>
          </w:tcPr>
          <w:p>
            <w:r>
              <w:rPr>
                <w:rFonts w:ascii="Calibri" w:hAnsi="Calibri"/>
                <w:sz w:val="22"/>
              </w:rPr>
              <w:t>Modest sequential cost increase from aluminum/Midwest premium</w:t>
            </w:r>
          </w:p>
        </w:tc>
        <w:tc>
          <w:tcPr>
            <w:tcW w:type="dxa" w:w="1080"/>
          </w:tcPr>
          <w:p>
            <w:r>
              <w:rPr>
                <w:rFonts w:ascii="Calibri" w:hAnsi="Calibri"/>
                <w:sz w:val="22"/>
              </w:rPr>
              <w:t>Unchanged; hedging program active</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r>
        <w:tc>
          <w:tcPr>
            <w:tcW w:type="dxa" w:w="1080"/>
          </w:tcPr>
          <w:p>
            <w:r>
              <w:rPr>
                <w:rFonts w:ascii="Calibri" w:hAnsi="Calibri"/>
                <w:sz w:val="22"/>
              </w:rPr>
              <w:t>International Revenue — Q2 2026</w:t>
            </w:r>
          </w:p>
        </w:tc>
        <w:tc>
          <w:tcPr>
            <w:tcW w:type="dxa" w:w="1080"/>
          </w:tcPr>
          <w:p>
            <w:r>
              <w:rPr>
                <w:rFonts w:ascii="Calibri" w:hAnsi="Calibri"/>
                <w:sz w:val="22"/>
              </w:rPr>
              <w:t>$1.074B</w:t>
            </w:r>
          </w:p>
        </w:tc>
        <w:tc>
          <w:tcPr>
            <w:tcW w:type="dxa" w:w="1080"/>
          </w:tcPr>
          <w:p>
            <w:r>
              <w:rPr>
                <w:rFonts w:ascii="Calibri" w:hAnsi="Calibri"/>
                <w:sz w:val="22"/>
              </w:rPr>
              <w:t>$1.067B</w:t>
            </w:r>
          </w:p>
        </w:tc>
        <w:tc>
          <w:tcPr>
            <w:tcW w:type="dxa" w:w="1080"/>
          </w:tcPr>
          <w:p>
            <w:r>
              <w:rPr>
                <w:rFonts w:ascii="Calibri" w:hAnsi="Calibri"/>
                <w:b/>
                <w:color w:val="E5484D"/>
                <w:sz w:val="22"/>
              </w:rPr>
              <w:t>-0.7%</w:t>
            </w:r>
          </w:p>
        </w:tc>
        <w:tc>
          <w:tcPr>
            <w:tcW w:type="dxa" w:w="1080"/>
          </w:tcPr>
          <w:p>
            <w:r>
              <w:rPr>
                <w:rFonts w:ascii="Calibri" w:hAnsi="Calibri"/>
                <w:sz w:val="22"/>
              </w:rPr>
              <w:t>No formal range; continued strong international growth expected</w:t>
            </w:r>
          </w:p>
        </w:tc>
        <w:tc>
          <w:tcPr>
            <w:tcW w:type="dxa" w:w="1080"/>
          </w:tcPr>
          <w:p>
            <w:r>
              <w:rPr>
                <w:rFonts w:ascii="Calibri" w:hAnsi="Calibri"/>
                <w:sz w:val="22"/>
              </w:rPr>
              <w:t>Unchanged; new market entries (Pakistan, Thailand) ongoing</w:t>
            </w:r>
          </w:p>
        </w:tc>
        <w:tc>
          <w:tcPr>
            <w:tcW w:type="dxa" w:w="1080"/>
          </w:tcPr>
          <w:p>
            <w:r>
              <w:rPr>
                <w:rFonts w:ascii="Calibri" w:hAnsi="Calibri"/>
                <w:sz w:val="22"/>
              </w:rPr>
              <w:t>Unchanged</w:t>
            </w:r>
          </w:p>
        </w:tc>
        <w:tc>
          <w:tcPr>
            <w:tcW w:type="dxa" w:w="1080"/>
          </w:tcPr>
          <w:p>
            <w:r>
              <w:rPr>
                <w:rFonts w:ascii="Calibri" w:hAnsi="Calibri"/>
                <w:sz w:val="22"/>
              </w:rPr>
              <w:t>N/A — no formal guidance range</w:t>
            </w:r>
          </w:p>
        </w:tc>
      </w:tr>
    </w:tbl>
    <w:p>
      <w:r>
        <w:rPr>
          <w:rFonts w:ascii="Calibri" w:hAnsi="Calibri"/>
          <w:color w:val="525866"/>
          <w:sz w:val="22"/>
        </w:rPr>
        <w:t>Estimates have moved modestly higher across all key metrics since the Q1 print, with revisions tracking management's constructive tone rather than diverging. The slight downward drift in international revenue consensus (-0.7%) vs. the post-Q1 baseline is the only area of modest caution, though it remains well above the prior-year period. Monster does not provide formal quarterly guidance ranges, so all consensus vs. guidance comparisons are directional based on management commentary.</w:t>
      </w:r>
    </w:p>
    <w:p>
      <w:r>
        <w:rPr>
          <w:rFonts w:ascii="Calibri" w:hAnsi="Calibri"/>
          <w:i/>
          <w:color w:val="525866"/>
          <w:sz w:val="22"/>
        </w:rPr>
        <w:t>Source: Visible Alpha consensus and actuals data (as-of date May 14, 2026 for baseline; current as of August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MNST's +24% gain since the May 7 earnings date has been driven primarily by </w:t>
      </w:r>
      <w:r>
        <w:rPr>
          <w:rFonts w:ascii="Calibri" w:hAnsi="Calibri"/>
          <w:b/>
          <w:color w:val="525866"/>
          <w:sz w:val="22"/>
        </w:rPr>
        <w:t>multiple expansion</w:t>
      </w:r>
      <w:r>
        <w:rPr>
          <w:rFonts w:ascii="Calibri" w:hAnsi="Calibri"/>
          <w:color w:val="525866"/>
          <w:sz w:val="22"/>
        </w:rPr>
        <w:t xml:space="preserve"> (+18.9% on EV/EBITDA over 3 months) rather than estimate revisions alone, with the stock significantly outperforming both XLP (+1.6%) and SPY (+5.2%) over the same period. The re-rating reflects renewed confidence in the international growth story, but leaves the stock vulnerable to any execution miss.</w:t>
      </w:r>
    </w:p>
    <w:p>
      <w:r>
        <w:rPr>
          <w:rFonts w:ascii="Calibri" w:hAnsi="Calibri"/>
          <w:b/>
          <w:color w:val="525866"/>
          <w:sz w:val="22"/>
        </w:rPr>
        <w:t>Chart: MNST vs. XLP vs. SPY — Indexed to 100 at May 7,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MNST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114.6</w:t>
            </w:r>
          </w:p>
        </w:tc>
        <w:tc>
          <w:tcPr>
            <w:tcW w:type="dxa" w:w="2160"/>
          </w:tcPr>
          <w:p>
            <w:r>
              <w:rPr>
                <w:rFonts w:ascii="Calibri" w:hAnsi="Calibri"/>
                <w:sz w:val="22"/>
              </w:rPr>
              <w:t>100.8</w:t>
            </w:r>
          </w:p>
        </w:tc>
        <w:tc>
          <w:tcPr>
            <w:tcW w:type="dxa" w:w="2160"/>
          </w:tcPr>
          <w:p>
            <w:r>
              <w:rPr>
                <w:rFonts w:ascii="Calibri" w:hAnsi="Calibri"/>
                <w:sz w:val="22"/>
              </w:rPr>
              <w:t>101.0</w:t>
            </w:r>
          </w:p>
        </w:tc>
      </w:tr>
      <w:tr>
        <w:tc>
          <w:tcPr>
            <w:tcW w:type="dxa" w:w="2160"/>
          </w:tcPr>
          <w:p>
            <w:r>
              <w:rPr>
                <w:rFonts w:ascii="Calibri" w:hAnsi="Calibri"/>
                <w:sz w:val="22"/>
              </w:rPr>
              <w:t>Jun 4, 2026 (DB Conference)</w:t>
            </w:r>
          </w:p>
        </w:tc>
        <w:tc>
          <w:tcPr>
            <w:tcW w:type="dxa" w:w="2160"/>
          </w:tcPr>
          <w:p>
            <w:r>
              <w:rPr>
                <w:rFonts w:ascii="Calibri" w:hAnsi="Calibri"/>
                <w:sz w:val="22"/>
              </w:rPr>
              <w:t>117.9</w:t>
            </w:r>
          </w:p>
        </w:tc>
        <w:tc>
          <w:tcPr>
            <w:tcW w:type="dxa" w:w="2160"/>
          </w:tcPr>
          <w:p>
            <w:r>
              <w:rPr>
                <w:rFonts w:ascii="Calibri" w:hAnsi="Calibri"/>
                <w:sz w:val="22"/>
              </w:rPr>
              <w:t>97.7</w:t>
            </w:r>
          </w:p>
        </w:tc>
        <w:tc>
          <w:tcPr>
            <w:tcW w:type="dxa" w:w="2160"/>
          </w:tcPr>
          <w:p>
            <w:r>
              <w:rPr>
                <w:rFonts w:ascii="Calibri" w:hAnsi="Calibri"/>
                <w:sz w:val="22"/>
              </w:rPr>
              <w:t>103.6</w:t>
            </w:r>
          </w:p>
        </w:tc>
      </w:tr>
      <w:tr>
        <w:tc>
          <w:tcPr>
            <w:tcW w:type="dxa" w:w="2160"/>
          </w:tcPr>
          <w:p>
            <w:r>
              <w:rPr>
                <w:rFonts w:ascii="Calibri" w:hAnsi="Calibri"/>
                <w:sz w:val="22"/>
              </w:rPr>
              <w:t>Jun 30, 2026</w:t>
            </w:r>
          </w:p>
        </w:tc>
        <w:tc>
          <w:tcPr>
            <w:tcW w:type="dxa" w:w="2160"/>
          </w:tcPr>
          <w:p>
            <w:r>
              <w:rPr>
                <w:rFonts w:ascii="Calibri" w:hAnsi="Calibri"/>
                <w:sz w:val="22"/>
              </w:rPr>
              <w:t>126.5</w:t>
            </w:r>
          </w:p>
        </w:tc>
        <w:tc>
          <w:tcPr>
            <w:tcW w:type="dxa" w:w="2160"/>
          </w:tcPr>
          <w:p>
            <w:r>
              <w:rPr>
                <w:rFonts w:ascii="Calibri" w:hAnsi="Calibri"/>
                <w:sz w:val="22"/>
              </w:rPr>
              <w:t>98.9</w:t>
            </w:r>
          </w:p>
        </w:tc>
        <w:tc>
          <w:tcPr>
            <w:tcW w:type="dxa" w:w="2160"/>
          </w:tcPr>
          <w:p>
            <w:r>
              <w:rPr>
                <w:rFonts w:ascii="Calibri" w:hAnsi="Calibri"/>
                <w:sz w:val="22"/>
              </w:rPr>
              <w:t>102.1</w:t>
            </w:r>
          </w:p>
        </w:tc>
      </w:tr>
      <w:tr>
        <w:tc>
          <w:tcPr>
            <w:tcW w:type="dxa" w:w="2160"/>
          </w:tcPr>
          <w:p>
            <w:r>
              <w:rPr>
                <w:rFonts w:ascii="Calibri" w:hAnsi="Calibri"/>
                <w:sz w:val="22"/>
              </w:rPr>
              <w:t>Jul 8, 2026 (Stock Split Announced)</w:t>
            </w:r>
          </w:p>
        </w:tc>
        <w:tc>
          <w:tcPr>
            <w:tcW w:type="dxa" w:w="2160"/>
          </w:tcPr>
          <w:p>
            <w:r>
              <w:rPr>
                <w:rFonts w:ascii="Calibri" w:hAnsi="Calibri"/>
                <w:sz w:val="22"/>
              </w:rPr>
              <w:t>125.2</w:t>
            </w:r>
          </w:p>
        </w:tc>
        <w:tc>
          <w:tcPr>
            <w:tcW w:type="dxa" w:w="2160"/>
          </w:tcPr>
          <w:p>
            <w:r>
              <w:rPr>
                <w:rFonts w:ascii="Calibri" w:hAnsi="Calibri"/>
                <w:sz w:val="22"/>
              </w:rPr>
              <w:t>100.5</w:t>
            </w:r>
          </w:p>
        </w:tc>
        <w:tc>
          <w:tcPr>
            <w:tcW w:type="dxa" w:w="2160"/>
          </w:tcPr>
          <w:p>
            <w:r>
              <w:rPr>
                <w:rFonts w:ascii="Calibri" w:hAnsi="Calibri"/>
                <w:sz w:val="22"/>
              </w:rPr>
              <w:t>101.9</w:t>
            </w:r>
          </w:p>
        </w:tc>
      </w:tr>
      <w:tr>
        <w:tc>
          <w:tcPr>
            <w:tcW w:type="dxa" w:w="2160"/>
          </w:tcPr>
          <w:p>
            <w:r>
              <w:rPr>
                <w:rFonts w:ascii="Calibri" w:hAnsi="Calibri"/>
                <w:sz w:val="22"/>
              </w:rPr>
              <w:t>Jul 16, 2026</w:t>
            </w:r>
          </w:p>
        </w:tc>
        <w:tc>
          <w:tcPr>
            <w:tcW w:type="dxa" w:w="2160"/>
          </w:tcPr>
          <w:p>
            <w:r>
              <w:rPr>
                <w:rFonts w:ascii="Calibri" w:hAnsi="Calibri"/>
                <w:sz w:val="22"/>
              </w:rPr>
              <w:t>131.6</w:t>
            </w:r>
          </w:p>
        </w:tc>
        <w:tc>
          <w:tcPr>
            <w:tcW w:type="dxa" w:w="2160"/>
          </w:tcPr>
          <w:p>
            <w:r>
              <w:rPr>
                <w:rFonts w:ascii="Calibri" w:hAnsi="Calibri"/>
                <w:sz w:val="22"/>
              </w:rPr>
              <w:t>102.2</w:t>
            </w:r>
          </w:p>
        </w:tc>
        <w:tc>
          <w:tcPr>
            <w:tcW w:type="dxa" w:w="2160"/>
          </w:tcPr>
          <w:p>
            <w:r>
              <w:rPr>
                <w:rFonts w:ascii="Calibri" w:hAnsi="Calibri"/>
                <w:sz w:val="22"/>
              </w:rPr>
              <w:t>102.6</w:t>
            </w:r>
          </w:p>
        </w:tc>
      </w:tr>
      <w:tr>
        <w:tc>
          <w:tcPr>
            <w:tcW w:type="dxa" w:w="2160"/>
          </w:tcPr>
          <w:p>
            <w:r>
              <w:rPr>
                <w:rFonts w:ascii="Calibri" w:hAnsi="Calibri"/>
                <w:sz w:val="22"/>
              </w:rPr>
              <w:t>Aug 4, 2026</w:t>
            </w:r>
          </w:p>
        </w:tc>
        <w:tc>
          <w:tcPr>
            <w:tcW w:type="dxa" w:w="2160"/>
          </w:tcPr>
          <w:p>
            <w:r>
              <w:rPr>
                <w:rFonts w:ascii="Calibri" w:hAnsi="Calibri"/>
                <w:sz w:val="22"/>
              </w:rPr>
              <w:t>124.0</w:t>
            </w:r>
          </w:p>
        </w:tc>
        <w:tc>
          <w:tcPr>
            <w:tcW w:type="dxa" w:w="2160"/>
          </w:tcPr>
          <w:p>
            <w:r>
              <w:rPr>
                <w:rFonts w:ascii="Calibri" w:hAnsi="Calibri"/>
                <w:sz w:val="22"/>
              </w:rPr>
              <w:t>101.7</w:t>
            </w:r>
          </w:p>
        </w:tc>
        <w:tc>
          <w:tcPr>
            <w:tcW w:type="dxa" w:w="2160"/>
          </w:tcPr>
          <w:p>
            <w:r>
              <w:rPr>
                <w:rFonts w:ascii="Calibri" w:hAnsi="Calibri"/>
                <w:sz w:val="22"/>
              </w:rPr>
              <w:t>105.4</w:t>
            </w:r>
          </w:p>
        </w:tc>
      </w:tr>
      <w:tr>
        <w:tc>
          <w:tcPr>
            <w:tcW w:type="dxa" w:w="2160"/>
          </w:tcPr>
          <w:p>
            <w:r>
              <w:rPr>
                <w:rFonts w:ascii="Calibri" w:hAnsi="Calibri"/>
                <w:sz w:val="22"/>
              </w:rPr>
              <w:t>Aug 5, 2026 (Prep Date)</w:t>
            </w:r>
          </w:p>
        </w:tc>
        <w:tc>
          <w:tcPr>
            <w:tcW w:type="dxa" w:w="2160"/>
          </w:tcPr>
          <w:p>
            <w:r>
              <w:rPr>
                <w:rFonts w:ascii="Calibri" w:hAnsi="Calibri"/>
                <w:sz w:val="22"/>
              </w:rPr>
              <w:t>~124.0 (est.)</w:t>
            </w:r>
          </w:p>
        </w:tc>
        <w:tc>
          <w:tcPr>
            <w:tcW w:type="dxa" w:w="2160"/>
          </w:tcPr>
          <w:p>
            <w:r>
              <w:rPr>
                <w:rFonts w:ascii="Calibri" w:hAnsi="Calibri"/>
                <w:sz w:val="22"/>
              </w:rPr>
              <w:t>~101.6</w:t>
            </w:r>
          </w:p>
        </w:tc>
        <w:tc>
          <w:tcPr>
            <w:tcW w:type="dxa" w:w="2160"/>
          </w:tcPr>
          <w:p>
            <w:r>
              <w:rPr>
                <w:rFonts w:ascii="Calibri" w:hAnsi="Calibri"/>
                <w:sz w:val="22"/>
              </w:rPr>
              <w:t>~105.2</w:t>
            </w:r>
          </w:p>
        </w:tc>
      </w:tr>
    </w:tbl>
    <w:p>
      <w:r>
        <w:rPr>
          <w:rFonts w:ascii="Calibri" w:hAnsi="Calibri"/>
          <w:b/>
          <w:color w:val="525866"/>
          <w:sz w:val="22"/>
        </w:rPr>
        <w:t>Key Events Since Last Earnings:</w:t>
      </w:r>
    </w:p>
    <w:p>
      <w:pPr>
        <w:pStyle w:val="ListBullet"/>
        <w:ind w:left="360" w:hanging="360"/>
      </w:pPr>
      <w:r>
        <w:rPr>
          <w:rFonts w:ascii="Calibri" w:hAnsi="Calibri"/>
          <w:b/>
          <w:color w:val="525866"/>
          <w:sz w:val="22"/>
        </w:rPr>
        <w:t>May 7, 2026:</w:t>
      </w:r>
      <w:r>
        <w:rPr>
          <w:rFonts w:ascii="Calibri" w:hAnsi="Calibri"/>
          <w:color w:val="525866"/>
          <w:sz w:val="22"/>
        </w:rPr>
        <w:t xml:space="preserve"> Q1 2026 earnings beat — stock gapped up ~14% from $75.97 to $86.29 the following session.</w:t>
      </w:r>
    </w:p>
    <w:p>
      <w:pPr>
        <w:pStyle w:val="ListBullet"/>
        <w:ind w:left="360" w:hanging="360"/>
      </w:pPr>
      <w:r>
        <w:rPr>
          <w:rFonts w:ascii="Calibri" w:hAnsi="Calibri"/>
          <w:b/>
          <w:color w:val="525866"/>
          <w:sz w:val="22"/>
        </w:rPr>
        <w:t>May 15, 2026:</w:t>
      </w:r>
      <w:r>
        <w:rPr>
          <w:rFonts w:ascii="Calibri" w:hAnsi="Calibri"/>
          <w:color w:val="525866"/>
          <w:sz w:val="22"/>
        </w:rPr>
        <w:t xml:space="preserve"> New $500M share repurchase program authorized; stock continued to grind higher.</w:t>
      </w:r>
    </w:p>
    <w:p>
      <w:pPr>
        <w:pStyle w:val="ListBullet"/>
        <w:ind w:left="360" w:hanging="360"/>
      </w:pPr>
      <w:r>
        <w:rPr>
          <w:rFonts w:ascii="Calibri" w:hAnsi="Calibri"/>
          <w:b/>
          <w:color w:val="525866"/>
          <w:sz w:val="22"/>
        </w:rPr>
        <w:t>Jun 4, 2026:</w:t>
      </w:r>
      <w:r>
        <w:rPr>
          <w:rFonts w:ascii="Calibri" w:hAnsi="Calibri"/>
          <w:color w:val="525866"/>
          <w:sz w:val="22"/>
        </w:rPr>
        <w:t xml:space="preserve"> Deutsche Bank Global Consumer Conference — management reiterated strong momentum; stock near $88.54.</w:t>
      </w:r>
    </w:p>
    <w:p>
      <w:pPr>
        <w:pStyle w:val="ListBullet"/>
        <w:ind w:left="360" w:hanging="360"/>
      </w:pPr>
      <w:r>
        <w:rPr>
          <w:rFonts w:ascii="Calibri" w:hAnsi="Calibri"/>
          <w:b/>
          <w:color w:val="525866"/>
          <w:sz w:val="22"/>
        </w:rPr>
        <w:t>Jul 8, 2026:</w:t>
      </w:r>
      <w:r>
        <w:rPr>
          <w:rFonts w:ascii="Calibri" w:hAnsi="Calibri"/>
          <w:color w:val="525866"/>
          <w:sz w:val="22"/>
        </w:rPr>
        <w:t xml:space="preserve"> 2-for-1 stock split announced (record July 24; distribution Aug. 10; split-adjusted trading Aug. 11) — stock at $95.15 pre-announcement.</w:t>
      </w:r>
    </w:p>
    <w:p>
      <w:pPr>
        <w:pStyle w:val="ListBullet"/>
        <w:ind w:left="360" w:hanging="360"/>
      </w:pPr>
      <w:r>
        <w:rPr>
          <w:rFonts w:ascii="Calibri" w:hAnsi="Calibri"/>
          <w:b/>
          <w:color w:val="525866"/>
          <w:sz w:val="22"/>
        </w:rPr>
        <w:t>Jul 16, 2026:</w:t>
      </w:r>
      <w:r>
        <w:rPr>
          <w:rFonts w:ascii="Calibri" w:hAnsi="Calibri"/>
          <w:color w:val="525866"/>
          <w:sz w:val="22"/>
        </w:rPr>
        <w:t xml:space="preserve"> Intraday high of $99.94 — peak since last earnings.</w:t>
      </w:r>
    </w:p>
    <w:p>
      <w:pPr>
        <w:pStyle w:val="ListBullet"/>
        <w:ind w:left="360" w:hanging="360"/>
      </w:pPr>
      <w:r>
        <w:rPr>
          <w:rFonts w:ascii="Calibri" w:hAnsi="Calibri"/>
          <w:b/>
          <w:color w:val="525866"/>
          <w:sz w:val="22"/>
        </w:rPr>
        <w:t>Late July / Early Aug 2026:</w:t>
      </w:r>
      <w:r>
        <w:rPr>
          <w:rFonts w:ascii="Calibri" w:hAnsi="Calibri"/>
          <w:color w:val="525866"/>
          <w:sz w:val="22"/>
        </w:rPr>
        <w:t xml:space="preserve"> Stock pulled back ~5% from peak to ~$94 range, likely reflecting pre-earnings profit-taking and broader market volatility.</w:t>
      </w:r>
    </w:p>
    <w:p>
      <w:r>
        <w:rPr>
          <w:rFonts w:ascii="Calibri" w:hAnsi="Calibri"/>
          <w:b/>
          <w:color w:val="525866"/>
          <w:sz w:val="22"/>
        </w:rPr>
        <w:t>Valuation Context:</w:t>
      </w:r>
      <w:r>
        <w:rPr>
          <w:rFonts w:ascii="Calibri" w:hAnsi="Calibri"/>
          <w:color w:val="525866"/>
          <w:sz w:val="22"/>
        </w:rPr>
        <w:t xml:space="preserve"> MNST currently trades at ~38x NTM P/E and ~28x NTM EV/EBITDA. The 3-month EV/EBITDA multiple expanded from ~23.4x to ~29.2x (+18.9%), while the 12-month expansion was from ~22.0x to ~27.8x (+26.7%). Multiple expansion has been the dominant driver of the 12-month +56.6% total return, with estimate revisions contributing a smaller portion.</w:t>
      </w:r>
    </w:p>
    <w:p>
      <w:r>
        <w:rPr>
          <w:rFonts w:ascii="Calibri" w:hAnsi="Calibri"/>
          <w:i/>
          <w:color w:val="525866"/>
          <w:sz w:val="22"/>
        </w:rPr>
        <w:t>Source: Yahoo Finance stock price data; Visible Alpha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last earnings is the </w:t>
      </w:r>
      <w:r>
        <w:rPr>
          <w:rFonts w:ascii="Calibri" w:hAnsi="Calibri"/>
          <w:b/>
          <w:color w:val="525866"/>
          <w:sz w:val="22"/>
        </w:rPr>
        <w:t>2-for-1 stock split</w:t>
      </w:r>
      <w:r>
        <w:rPr>
          <w:rFonts w:ascii="Calibri" w:hAnsi="Calibri"/>
          <w:color w:val="525866"/>
          <w:sz w:val="22"/>
        </w:rPr>
        <w:t xml:space="preserve"> (July 8), which signals management confidence and broadens the shareholder base ahead of the print. The second most important is the </w:t>
      </w:r>
      <w:r>
        <w:rPr>
          <w:rFonts w:ascii="Calibri" w:hAnsi="Calibri"/>
          <w:b/>
          <w:color w:val="525866"/>
          <w:sz w:val="22"/>
        </w:rPr>
        <w:t>India energy drink labeling crackdown</w:t>
      </w:r>
      <w:r>
        <w:rPr>
          <w:rFonts w:ascii="Calibri" w:hAnsi="Calibri"/>
          <w:color w:val="525866"/>
          <w:sz w:val="22"/>
        </w:rPr>
        <w:t xml:space="preserve"> (July 27), which is a direct regulatory risk to one of Monster's fastest-growing markets.</w:t>
      </w:r>
    </w:p>
    <w:p>
      <w:pPr>
        <w:pStyle w:val="ListBullet"/>
        <w:ind w:left="360" w:hanging="360"/>
      </w:pPr>
      <w:r>
        <w:rPr>
          <w:rFonts w:ascii="Calibri" w:hAnsi="Calibri"/>
          <w:b/>
          <w:color w:val="525866"/>
          <w:sz w:val="22"/>
        </w:rPr>
        <w:t>Jul 8, 2026 — 2-for-1 Stock Split Announced (8-K):</w:t>
      </w:r>
      <w:r>
        <w:rPr>
          <w:rFonts w:ascii="Calibri" w:hAnsi="Calibri"/>
          <w:color w:val="525866"/>
          <w:sz w:val="22"/>
        </w:rPr>
        <w:t xml:space="preserve"> Monster's Board approved a 2-for-1 stock split effected as a 100% stock dividend. Record date: July 24, 2026; distribution date: August 10, 2026; split-adjusted trading begins August 11, 2026. </w:t>
      </w:r>
    </w:p>
    <w:p>
      <w:pPr>
        <w:pStyle w:val="ListBullet"/>
        <w:ind w:left="360" w:hanging="360"/>
      </w:pPr>
      <w:r>
        <w:rPr>
          <w:rFonts w:ascii="Calibri" w:hAnsi="Calibri"/>
          <w:i/>
          <w:color w:val="525866"/>
          <w:sz w:val="22"/>
        </w:rPr>
        <w:t>Implication:</w:t>
      </w:r>
      <w:r>
        <w:rPr>
          <w:rFonts w:ascii="Calibri" w:hAnsi="Calibri"/>
          <w:color w:val="525866"/>
          <w:sz w:val="22"/>
        </w:rPr>
        <w:t xml:space="preserve"> Signals management confidence in sustained share price appreciation; broadens retail investor access. Neutral to fundamentals but positive for sentiment.</w:t>
      </w:r>
    </w:p>
    <w:p>
      <w:pPr>
        <w:pStyle w:val="ListBullet"/>
        <w:ind w:left="360" w:hanging="360"/>
      </w:pPr>
      <w:r>
        <w:rPr>
          <w:rFonts w:ascii="Calibri" w:hAnsi="Calibri"/>
          <w:b/>
          <w:color w:val="525866"/>
          <w:sz w:val="22"/>
        </w:rPr>
        <w:t>May 15, 2026 — New $500M Share Repurchase Program (8-K):</w:t>
      </w:r>
      <w:r>
        <w:rPr>
          <w:rFonts w:ascii="Calibri" w:hAnsi="Calibri"/>
          <w:color w:val="525866"/>
          <w:sz w:val="22"/>
        </w:rPr>
        <w:t xml:space="preserve"> Board authorized a new $500M buyback, with ~$400M remaining under the prior program as of May 14. Total buyback capacity of ~$900M as of mid-May. </w:t>
      </w:r>
    </w:p>
    <w:p>
      <w:pPr>
        <w:pStyle w:val="ListBullet"/>
        <w:ind w:left="360" w:hanging="360"/>
      </w:pPr>
      <w:r>
        <w:rPr>
          <w:rFonts w:ascii="Calibri" w:hAnsi="Calibri"/>
          <w:i/>
          <w:color w:val="525866"/>
          <w:sz w:val="22"/>
        </w:rPr>
        <w:t>Implication:</w:t>
      </w:r>
      <w:r>
        <w:rPr>
          <w:rFonts w:ascii="Calibri" w:hAnsi="Calibri"/>
          <w:color w:val="525866"/>
          <w:sz w:val="22"/>
        </w:rPr>
        <w:t xml:space="preserve"> Reinforces capital return commitment; management signaling confidence in free cash flow generation.</w:t>
      </w:r>
    </w:p>
    <w:p>
      <w:pPr>
        <w:pStyle w:val="ListBullet"/>
        <w:ind w:left="360" w:hanging="360"/>
      </w:pPr>
      <w:r>
        <w:rPr>
          <w:rFonts w:ascii="Calibri" w:hAnsi="Calibri"/>
          <w:b/>
          <w:color w:val="525866"/>
          <w:sz w:val="22"/>
        </w:rPr>
        <w:t>Jul 27, 2026 — India Energy Drink Labeling Crackdown (Reuters):</w:t>
      </w:r>
      <w:r>
        <w:rPr>
          <w:rFonts w:ascii="Calibri" w:hAnsi="Calibri"/>
          <w:color w:val="525866"/>
          <w:sz w:val="22"/>
        </w:rPr>
        <w:t xml:space="preserve"> India's Food Safety and Standards Authority ordered PepsiCo to stop using the descriptor "energy drink" for its Sting brand, with Monster and Red Bull also named as protesting the regulatory change. Companies given 90 days to comply. </w:t>
      </w:r>
    </w:p>
    <w:p>
      <w:pPr>
        <w:pStyle w:val="ListBullet"/>
        <w:ind w:left="360" w:hanging="360"/>
      </w:pPr>
      <w:r>
        <w:rPr>
          <w:rFonts w:ascii="Calibri" w:hAnsi="Calibri"/>
          <w:i/>
          <w:color w:val="525866"/>
          <w:sz w:val="22"/>
        </w:rPr>
        <w:t>Implication:</w:t>
      </w:r>
      <w:r>
        <w:rPr>
          <w:rFonts w:ascii="Calibri" w:hAnsi="Calibri"/>
          <w:color w:val="525866"/>
          <w:sz w:val="22"/>
        </w:rPr>
        <w:t xml:space="preserve"> Direct regulatory risk to Monster's India business, which grew ~95% in Q1 2026. Removing the "energy drink" category label could disrupt brand positioning and marketing in one of the fastest-growing markets. Watch for management commentary on Q2 call.</w:t>
      </w:r>
    </w:p>
    <w:p>
      <w:pPr>
        <w:pStyle w:val="ListBullet"/>
        <w:ind w:left="360" w:hanging="360"/>
      </w:pPr>
      <w:r>
        <w:rPr>
          <w:rFonts w:ascii="Calibri" w:hAnsi="Calibri"/>
          <w:b/>
          <w:color w:val="525866"/>
          <w:sz w:val="22"/>
        </w:rPr>
        <w:t>Jun 4, 2026 — Deutsche Bank Global Consumer Conference:</w:t>
      </w:r>
      <w:r>
        <w:rPr>
          <w:rFonts w:ascii="Calibri" w:hAnsi="Calibri"/>
          <w:color w:val="525866"/>
          <w:sz w:val="22"/>
        </w:rPr>
        <w:t xml:space="preserve"> CEO Rodney Sacks and EMEA CEO Guy Carling presented. Key highlights: Pakistan launched 2 weeks prior; Japan vending machine deal with CCBJI confirmed for summer; EMEA category growing at "decent double-digit" rates; Ultra White growing 50%+ per Nielsen; female consumer strategy (FLRT brand, 12-oz Ultra formats) gaining traction. </w:t>
      </w:r>
    </w:p>
    <w:p>
      <w:pPr>
        <w:pStyle w:val="ListBullet"/>
        <w:ind w:left="360" w:hanging="360"/>
      </w:pPr>
      <w:r>
        <w:rPr>
          <w:rFonts w:ascii="Calibri" w:hAnsi="Calibri"/>
          <w:i/>
          <w:color w:val="525866"/>
          <w:sz w:val="22"/>
        </w:rPr>
        <w:t>Implication:</w:t>
      </w:r>
      <w:r>
        <w:rPr>
          <w:rFonts w:ascii="Calibri" w:hAnsi="Calibri"/>
          <w:color w:val="525866"/>
          <w:sz w:val="22"/>
        </w:rPr>
        <w:t xml:space="preserve"> Reinforces the international growth narrative and innovation pipeline heading into Q2 print.</w:t>
      </w:r>
    </w:p>
    <w:p>
      <w:pPr>
        <w:pStyle w:val="ListBullet"/>
        <w:ind w:left="360" w:hanging="360"/>
      </w:pPr>
      <w:r>
        <w:rPr>
          <w:rFonts w:ascii="Calibri" w:hAnsi="Calibri"/>
          <w:b/>
          <w:color w:val="525866"/>
          <w:sz w:val="22"/>
        </w:rPr>
        <w:t>Jul 28, 2026 — Coca-Cola Q2 2026 Earnings (KO):</w:t>
      </w:r>
      <w:r>
        <w:rPr>
          <w:rFonts w:ascii="Calibri" w:hAnsi="Calibri"/>
          <w:color w:val="525866"/>
          <w:sz w:val="22"/>
        </w:rPr>
        <w:t xml:space="preserve"> KO reported 7% revenue growth and raised full-year organic sales guidance to ~5%. Notably, KO disclosed that the Marriott contract win involved coordination with Monster, with management stating they "want our entire portfolio with them" including Monster as an energy partner. </w:t>
      </w:r>
    </w:p>
    <w:p>
      <w:pPr>
        <w:pStyle w:val="ListBullet"/>
        <w:ind w:left="360" w:hanging="360"/>
      </w:pPr>
      <w:r>
        <w:rPr>
          <w:rFonts w:ascii="Calibri" w:hAnsi="Calibri"/>
          <w:i/>
          <w:color w:val="525866"/>
          <w:sz w:val="22"/>
        </w:rPr>
        <w:t>Implication:</w:t>
      </w:r>
      <w:r>
        <w:rPr>
          <w:rFonts w:ascii="Calibri" w:hAnsi="Calibri"/>
          <w:color w:val="525866"/>
          <w:sz w:val="22"/>
        </w:rPr>
        <w:t xml:space="preserve"> Positive read-through for MNST's food service / on-premise distribution expansion via the Coca-Cola system.</w:t>
      </w:r>
    </w:p>
    <w:p>
      <w:pPr>
        <w:pStyle w:val="ListBullet"/>
        <w:ind w:left="360" w:hanging="360"/>
      </w:pPr>
      <w:r>
        <w:rPr>
          <w:rFonts w:ascii="Calibri" w:hAnsi="Calibri"/>
          <w:b/>
          <w:color w:val="525866"/>
          <w:sz w:val="22"/>
        </w:rPr>
        <w:t>Jul 9, 2026 — PepsiCo Q2 2026 Earnings (PEP):</w:t>
      </w:r>
      <w:r>
        <w:rPr>
          <w:rFonts w:ascii="Calibri" w:hAnsi="Calibri"/>
          <w:color w:val="525866"/>
          <w:sz w:val="22"/>
        </w:rPr>
        <w:t xml:space="preserve"> PEP flagged a slowdown in impulse channel conversion (convenience stores, gas stations) tied to high gas prices, noting "the consumer is worse than what we had anticipated." </w:t>
      </w:r>
    </w:p>
    <w:p>
      <w:pPr>
        <w:pStyle w:val="ListBullet"/>
        <w:ind w:left="360" w:hanging="360"/>
      </w:pPr>
      <w:r>
        <w:rPr>
          <w:rFonts w:ascii="Calibri" w:hAnsi="Calibri"/>
          <w:i/>
          <w:color w:val="525866"/>
          <w:sz w:val="22"/>
        </w:rPr>
        <w:t>Implication:</w:t>
      </w:r>
      <w:r>
        <w:rPr>
          <w:rFonts w:ascii="Calibri" w:hAnsi="Calibri"/>
          <w:color w:val="525866"/>
          <w:sz w:val="22"/>
        </w:rPr>
        <w:t xml:space="preserve"> Direct risk to MNST's U.S. convenience store channel, which is the primary distribution channel for energy drinks. Watch for any commentary on U.S. channel softness on the Q2 call.</w:t>
      </w:r>
    </w:p>
    <w:p>
      <w:pPr>
        <w:pStyle w:val="ListBullet"/>
        <w:ind w:left="360" w:hanging="360"/>
      </w:pPr>
      <w:r>
        <w:rPr>
          <w:rFonts w:ascii="Calibri" w:hAnsi="Calibri"/>
          <w:b/>
          <w:color w:val="525866"/>
          <w:sz w:val="22"/>
        </w:rPr>
        <w:t>Jul 24, 2026 — Coca-Cola Raises Diet Coke Prices in India Due to Aluminum Can Supply Disruption (Reuters):</w:t>
      </w:r>
      <w:r>
        <w:rPr>
          <w:rFonts w:ascii="Calibri" w:hAnsi="Calibri"/>
          <w:color w:val="525866"/>
          <w:sz w:val="22"/>
        </w:rPr>
        <w:t xml:space="preserve"> KO raised Diet Coke prices in India by 10%+ due to Middle East conflict disrupting aluminum can supply from Southeast Asia. </w:t>
      </w:r>
    </w:p>
    <w:p>
      <w:pPr>
        <w:pStyle w:val="ListBullet"/>
        <w:ind w:left="360" w:hanging="360"/>
      </w:pPr>
      <w:r>
        <w:rPr>
          <w:rFonts w:ascii="Calibri" w:hAnsi="Calibri"/>
          <w:i/>
          <w:color w:val="525866"/>
          <w:sz w:val="22"/>
        </w:rPr>
        <w:t>Implication:</w:t>
      </w:r>
      <w:r>
        <w:rPr>
          <w:rFonts w:ascii="Calibri" w:hAnsi="Calibri"/>
          <w:color w:val="525866"/>
          <w:sz w:val="22"/>
        </w:rPr>
        <w:t xml:space="preserve"> Confirms aluminum supply chain stress in Asia; could be a headwind for MNST's India operations if similar supply disruptions affect can availability or costs.</w:t>
      </w:r>
    </w:p>
    <w:p>
      <w:pPr>
        <w:pStyle w:val="ListBullet"/>
        <w:ind w:left="360" w:hanging="360"/>
      </w:pPr>
      <w:r>
        <w:rPr>
          <w:rFonts w:ascii="Calibri" w:hAnsi="Calibri"/>
          <w:b/>
          <w:color w:val="525866"/>
          <w:sz w:val="22"/>
        </w:rPr>
        <w:t>Jul 30, 2026 — Monster Announces Q2 2026 Earnings Date (Press Release):</w:t>
      </w:r>
      <w:r>
        <w:rPr>
          <w:rFonts w:ascii="Calibri" w:hAnsi="Calibri"/>
          <w:color w:val="525866"/>
          <w:sz w:val="22"/>
        </w:rPr>
        <w:t xml:space="preserve"> Confirmed August 6, 2026 earnings call at 5:00 PM ET.</w:t>
      </w:r>
    </w:p>
    <w:p>
      <w:r>
        <w:br w:type="page"/>
      </w:r>
    </w:p>
    <w:p>
      <w:pPr>
        <w:pStyle w:val="Heading2"/>
      </w:pPr>
      <w:r>
        <w:rPr>
          <w:rFonts w:ascii="Calibri" w:hAnsi="Calibri"/>
          <w:b/>
          <w:color w:val="3B4259"/>
          <w:sz w:val="28"/>
        </w:rPr>
        <w:t>7. Peer Commentary Read-Throughs (Last 60 Days)</w:t>
      </w:r>
    </w:p>
    <w:p>
      <w:r>
        <w:rPr>
          <w:rFonts w:ascii="Calibri" w:hAnsi="Calibri"/>
          <w:b/>
          <w:color w:val="525866"/>
          <w:sz w:val="22"/>
        </w:rPr>
        <w:t xml:space="preserve">Key Takeaway: </w:t>
      </w:r>
      <w:r>
        <w:rPr>
          <w:rFonts w:ascii="Calibri" w:hAnsi="Calibri"/>
          <w:color w:val="525866"/>
          <w:sz w:val="22"/>
        </w:rPr>
        <w:t xml:space="preserve">The most actionable read-throughs for MNST's Q2 2026 print come from </w:t>
      </w:r>
      <w:r>
        <w:rPr>
          <w:rFonts w:ascii="Calibri" w:hAnsi="Calibri"/>
          <w:b/>
          <w:color w:val="525866"/>
          <w:sz w:val="22"/>
        </w:rPr>
        <w:t>Coca-Cola's strong Q2 volume beat and raised guidance</w:t>
      </w:r>
      <w:r>
        <w:rPr>
          <w:rFonts w:ascii="Calibri" w:hAnsi="Calibri"/>
          <w:color w:val="525866"/>
          <w:sz w:val="22"/>
        </w:rPr>
        <w:t xml:space="preserve"> (positive) and </w:t>
      </w:r>
      <w:r>
        <w:rPr>
          <w:rFonts w:ascii="Calibri" w:hAnsi="Calibri"/>
          <w:b/>
          <w:color w:val="525866"/>
          <w:sz w:val="22"/>
        </w:rPr>
        <w:t>PepsiCo's warning on impulse channel softness in the U.S.</w:t>
      </w:r>
      <w:r>
        <w:rPr>
          <w:rFonts w:ascii="Calibri" w:hAnsi="Calibri"/>
          <w:color w:val="525866"/>
          <w:sz w:val="22"/>
        </w:rPr>
        <w:t xml:space="preserve"> (negative). The India regulatory risk (energy drink labeling) is a new wildcard flagged by PepsiCo's Sting situation. Only commentary about the current reporting period (Q2 2026 / H2 2026 outlook) is included below; prior-quarter result commentary has been excluded.</w:t>
      </w:r>
    </w:p>
    <w:p>
      <w:r>
        <w:rPr>
          <w:rFonts w:ascii="Calibri" w:hAnsi="Calibri"/>
          <w:i/>
          <w:color w:val="525866"/>
          <w:sz w:val="22"/>
        </w:rPr>
        <w:t>Note on Methodology:</w:t>
      </w:r>
      <w:r>
        <w:rPr>
          <w:rFonts w:ascii="Calibri" w:hAnsi="Calibri"/>
          <w:i/>
          <w:color w:val="525866"/>
          <w:sz w:val="22"/>
        </w:rPr>
        <w:t xml:space="preserve"> Only peer commentary from the last 60 days (since ~June 6, 2026) that pertains to the current reporting period (Q2 2026 or H2 2026 outlook) is included. Commentary about prior-quarter results only (e.g., Q1 2025 results discussed on Q1 2025 earnings calls) has been excluded. Read-through strength is labeled: </w:t>
      </w:r>
      <w:r>
        <w:rPr>
          <w:rFonts w:ascii="Calibri" w:hAnsi="Calibri"/>
          <w:b/>
          <w:i/>
          <w:color w:val="525866"/>
          <w:sz w:val="22"/>
        </w:rPr>
        <w:t>Direct</w:t>
      </w:r>
      <w:r>
        <w:rPr>
          <w:rFonts w:ascii="Calibri" w:hAnsi="Calibri"/>
          <w:i/>
          <w:color w:val="525866"/>
          <w:sz w:val="22"/>
        </w:rPr>
        <w:t xml:space="preserve"> = high relevance to MNST's specific business drivers; </w:t>
      </w:r>
      <w:r>
        <w:rPr>
          <w:rFonts w:ascii="Calibri" w:hAnsi="Calibri"/>
          <w:b/>
          <w:i/>
          <w:color w:val="525866"/>
          <w:sz w:val="22"/>
        </w:rPr>
        <w:t>Weak</w:t>
      </w:r>
      <w:r>
        <w:rPr>
          <w:rFonts w:ascii="Calibri" w:hAnsi="Calibri"/>
          <w:i/>
          <w:color w:val="525866"/>
          <w:sz w:val="22"/>
        </w:rPr>
        <w:t xml:space="preserve"> = relevant to broader industry/macro context but less specific to MNST.</w:t>
      </w:r>
    </w:p>
    <w:p>
      <w:pPr>
        <w:pStyle w:val="Heading3"/>
      </w:pPr>
      <w:r>
        <w:rPr>
          <w:rFonts w:ascii="Calibri" w:hAnsi="Calibri"/>
          <w:b/>
          <w:color w:val="3B4259"/>
          <w:sz w:val="24"/>
        </w:rPr>
        <w:t>7A. Coca-Cola (KO) — Q2 2026 Earnings (Reported July 28, 2026)</w:t>
      </w:r>
    </w:p>
    <w:p>
      <w:r>
        <w:rPr>
          <w:rFonts w:ascii="Calibri" w:hAnsi="Calibri"/>
          <w:color w:val="525866"/>
          <w:sz w:val="22"/>
        </w:rPr>
        <w:t>KO's Q2 2026 results and forward commentary are the most relevant peer read-through for MNST, given the Coca-Cola bottling system is Monster's primary global distribution partner.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KO Commentary (Q2 2026 / H2 2026 Outlook)</w:t>
            </w:r>
          </w:p>
        </w:tc>
        <w:tc>
          <w:tcPr>
            <w:tcW w:type="dxa" w:w="2160"/>
            <w:shd w:val="clear" w:color="auto" w:fill="3B4259"/>
          </w:tcPr>
          <w:p>
            <w:r>
              <w:rPr>
                <w:rFonts w:ascii="Calibri" w:hAnsi="Calibri"/>
                <w:b/>
                <w:color w:val="FFFFFF"/>
                <w:sz w:val="22"/>
              </w:rPr>
              <w:t>Read-Through for MNST</w:t>
            </w:r>
          </w:p>
        </w:tc>
        <w:tc>
          <w:tcPr>
            <w:tcW w:type="dxa" w:w="2160"/>
            <w:shd w:val="clear" w:color="auto" w:fill="3B4259"/>
          </w:tcPr>
          <w:p>
            <w:r>
              <w:rPr>
                <w:rFonts w:ascii="Calibri" w:hAnsi="Calibri"/>
                <w:b/>
                <w:color w:val="FFFFFF"/>
                <w:sz w:val="22"/>
              </w:rPr>
              <w:t>Strength</w:t>
            </w:r>
          </w:p>
        </w:tc>
      </w:tr>
      <w:tr>
        <w:tc>
          <w:tcPr>
            <w:tcW w:type="dxa" w:w="2160"/>
          </w:tcPr>
          <w:p>
            <w:r>
              <w:rPr>
                <w:rFonts w:ascii="Calibri" w:hAnsi="Calibri"/>
                <w:sz w:val="22"/>
              </w:rPr>
              <w:t>Global Beverage Volume</w:t>
            </w:r>
          </w:p>
        </w:tc>
        <w:tc>
          <w:tcPr>
            <w:tcW w:type="dxa" w:w="2160"/>
          </w:tcPr>
          <w:p>
            <w:r>
              <w:rPr>
                <w:rFonts w:ascii="Calibri" w:hAnsi="Calibri"/>
                <w:sz w:val="22"/>
              </w:rPr>
              <w:t>Consolidated unit case volume grew 5% in Q2, led by India, China, the U.S., and Brazil. Sparkling soft drinks grew 4%; Coca-Cola Zero Sugar grew 16% across all geographies. KO raised full-year organic revenue guidance to ~5% (from 4-5%).</w:t>
            </w:r>
          </w:p>
        </w:tc>
        <w:tc>
          <w:tcPr>
            <w:tcW w:type="dxa" w:w="2160"/>
          </w:tcPr>
          <w:p>
            <w:r>
              <w:rPr>
                <w:rFonts w:ascii="Calibri" w:hAnsi="Calibri"/>
                <w:sz w:val="22"/>
              </w:rPr>
              <w:t>Strong volume growth in KO's core markets — especially India, China, and the U.S. — signals healthy consumer demand in the same geographies where MNST is growing fastest. Zero-sugar volume growth of 16% directly validates MNST's Ultra (zero sugar) portfolio momentum.</w:t>
            </w:r>
          </w:p>
        </w:tc>
        <w:tc>
          <w:tcPr>
            <w:tcW w:type="dxa" w:w="2160"/>
          </w:tcPr>
          <w:p>
            <w:r>
              <w:rPr>
                <w:rFonts w:ascii="Calibri" w:hAnsi="Calibri"/>
                <w:b/>
                <w:color w:val="30A46C"/>
                <w:sz w:val="22"/>
              </w:rPr>
              <w:t>Direct</w:t>
            </w:r>
          </w:p>
        </w:tc>
      </w:tr>
      <w:tr>
        <w:tc>
          <w:tcPr>
            <w:tcW w:type="dxa" w:w="2160"/>
          </w:tcPr>
          <w:p>
            <w:r>
              <w:rPr>
                <w:rFonts w:ascii="Calibri" w:hAnsi="Calibri"/>
                <w:sz w:val="22"/>
              </w:rPr>
              <w:t>Marriott Contract Win / Monster Distribution</w:t>
            </w:r>
          </w:p>
        </w:tc>
        <w:tc>
          <w:tcPr>
            <w:tcW w:type="dxa" w:w="2160"/>
          </w:tcPr>
          <w:p>
            <w:r>
              <w:rPr>
                <w:rFonts w:ascii="Calibri" w:hAnsi="Calibri"/>
                <w:sz w:val="22"/>
              </w:rPr>
              <w:t>KO disclosed it won back the Marriott contract after 34 years, with management stating: "We always go and work with our customers in a way that we want to have our entire portfolio with them. We want it all." Monster was explicitly included as part of the portfolio extended to Marriott.</w:t>
            </w:r>
          </w:p>
        </w:tc>
        <w:tc>
          <w:tcPr>
            <w:tcW w:type="dxa" w:w="2160"/>
          </w:tcPr>
          <w:p>
            <w:r>
              <w:rPr>
                <w:rFonts w:ascii="Calibri" w:hAnsi="Calibri"/>
                <w:sz w:val="22"/>
              </w:rPr>
              <w:t>Direct positive for MNST's food service / on-premise channel. The Coca-Cola system is actively bundling Monster into major hospitality contracts, which should drive incremental distribution and volume in a channel MNST has been targeting for expansion.</w:t>
            </w:r>
          </w:p>
        </w:tc>
        <w:tc>
          <w:tcPr>
            <w:tcW w:type="dxa" w:w="2160"/>
          </w:tcPr>
          <w:p>
            <w:r>
              <w:rPr>
                <w:rFonts w:ascii="Calibri" w:hAnsi="Calibri"/>
                <w:b/>
                <w:color w:val="30A46C"/>
                <w:sz w:val="22"/>
              </w:rPr>
              <w:t>Direct</w:t>
            </w:r>
          </w:p>
        </w:tc>
      </w:tr>
      <w:tr>
        <w:tc>
          <w:tcPr>
            <w:tcW w:type="dxa" w:w="2160"/>
          </w:tcPr>
          <w:p>
            <w:r>
              <w:rPr>
                <w:rFonts w:ascii="Calibri" w:hAnsi="Calibri"/>
                <w:sz w:val="22"/>
              </w:rPr>
              <w:t>Input Costs / Tariffs</w:t>
            </w:r>
          </w:p>
        </w:tc>
        <w:tc>
          <w:tcPr>
            <w:tcW w:type="dxa" w:w="2160"/>
          </w:tcPr>
          <w:p>
            <w:r>
              <w:rPr>
                <w:rFonts w:ascii="Calibri" w:hAnsi="Calibri"/>
                <w:sz w:val="22"/>
              </w:rPr>
              <w:t>KO stated it continues to "believe the overall impact of our cost baskets to be manageable" for the remainder of 2026, despite ongoing commodity volatility.</w:t>
            </w:r>
          </w:p>
        </w:tc>
        <w:tc>
          <w:tcPr>
            <w:tcW w:type="dxa" w:w="2160"/>
          </w:tcPr>
          <w:p>
            <w:r>
              <w:rPr>
                <w:rFonts w:ascii="Calibri" w:hAnsi="Calibri"/>
                <w:sz w:val="22"/>
              </w:rPr>
              <w:t>Consistent with MNST management's own framing of aluminum/tariff headwinds as "modest." Suggests the broader beverage industry is managing input cost pressures without material margin deterioration — a mild positive for MNST's gross margin outlook.</w:t>
            </w:r>
          </w:p>
        </w:tc>
        <w:tc>
          <w:tcPr>
            <w:tcW w:type="dxa" w:w="2160"/>
          </w:tcPr>
          <w:p>
            <w:r>
              <w:rPr>
                <w:rFonts w:ascii="Calibri" w:hAnsi="Calibri"/>
                <w:b/>
                <w:sz w:val="22"/>
              </w:rPr>
              <w:t>Direct</w:t>
            </w:r>
          </w:p>
        </w:tc>
      </w:tr>
      <w:tr>
        <w:tc>
          <w:tcPr>
            <w:tcW w:type="dxa" w:w="2160"/>
          </w:tcPr>
          <w:p>
            <w:r>
              <w:rPr>
                <w:rFonts w:ascii="Calibri" w:hAnsi="Calibri"/>
                <w:sz w:val="22"/>
              </w:rPr>
              <w:t>Asia Pacific Dynamics</w:t>
            </w:r>
          </w:p>
        </w:tc>
        <w:tc>
          <w:tcPr>
            <w:tcW w:type="dxa" w:w="2160"/>
          </w:tcPr>
          <w:p>
            <w:r>
              <w:rPr>
                <w:rFonts w:ascii="Calibri" w:hAnsi="Calibri"/>
                <w:sz w:val="22"/>
              </w:rPr>
              <w:t>Asia Pacific unit case volume grew 8%, but price/mix declined 9% due to "unfavorable mix and affordability initiatives." KO lost value share in total NARTD in Asia Pacific, with gains in Japan and China offset by a loss in India.</w:t>
            </w:r>
          </w:p>
        </w:tc>
        <w:tc>
          <w:tcPr>
            <w:tcW w:type="dxa" w:w="2160"/>
          </w:tcPr>
          <w:p>
            <w:r>
              <w:rPr>
                <w:rFonts w:ascii="Calibri" w:hAnsi="Calibri"/>
                <w:sz w:val="22"/>
              </w:rPr>
              <w:t>Mixed read-through. Strong volume growth in APAC is positive for MNST's regional expansion, but the price/mix pressure and India value share loss suggest a competitive and price-sensitive environment. MNST's India business grew ~95% in Q1 — any slowdown or pricing pressure in India would be a headwind.</w:t>
            </w:r>
          </w:p>
        </w:tc>
        <w:tc>
          <w:tcPr>
            <w:tcW w:type="dxa" w:w="2160"/>
          </w:tcPr>
          <w:p>
            <w:r>
              <w:rPr>
                <w:rFonts w:ascii="Calibri" w:hAnsi="Calibri"/>
                <w:b/>
                <w:sz w:val="22"/>
              </w:rPr>
              <w:t>Direct (mixed)</w:t>
            </w:r>
          </w:p>
        </w:tc>
      </w:tr>
      <w:tr>
        <w:tc>
          <w:tcPr>
            <w:tcW w:type="dxa" w:w="2160"/>
          </w:tcPr>
          <w:p>
            <w:r>
              <w:rPr>
                <w:rFonts w:ascii="Calibri" w:hAnsi="Calibri"/>
                <w:sz w:val="22"/>
              </w:rPr>
              <w:t>H2 2026 Momentum</w:t>
            </w:r>
          </w:p>
        </w:tc>
        <w:tc>
          <w:tcPr>
            <w:tcW w:type="dxa" w:w="2160"/>
          </w:tcPr>
          <w:p>
            <w:r>
              <w:rPr>
                <w:rFonts w:ascii="Calibri" w:hAnsi="Calibri"/>
                <w:sz w:val="22"/>
              </w:rPr>
              <w:t>KO expects momentum from H1 to continue into H2, with concentrate shipments lagging unit case volume by ~1 point in Q3. Currency tailwind of ~1 point to comparable net revenues and ~3 points to comparable EPS expected for Q3.</w:t>
            </w:r>
          </w:p>
        </w:tc>
        <w:tc>
          <w:tcPr>
            <w:tcW w:type="dxa" w:w="2160"/>
          </w:tcPr>
          <w:p>
            <w:r>
              <w:rPr>
                <w:rFonts w:ascii="Calibri" w:hAnsi="Calibri"/>
                <w:sz w:val="22"/>
              </w:rPr>
              <w:t>Positive macro backdrop for MNST's H2 2026. Currency tailwinds are a direct benefit given MNST's ~45% international revenue mix. KO's raised guidance signals confidence in the global beverage demand environment.</w:t>
            </w:r>
          </w:p>
        </w:tc>
        <w:tc>
          <w:tcPr>
            <w:tcW w:type="dxa" w:w="2160"/>
          </w:tcPr>
          <w:p>
            <w:r>
              <w:rPr>
                <w:rFonts w:ascii="Calibri" w:hAnsi="Calibri"/>
                <w:b/>
                <w:color w:val="30A46C"/>
                <w:sz w:val="22"/>
              </w:rPr>
              <w:t>Direct</w:t>
            </w:r>
          </w:p>
        </w:tc>
      </w:tr>
      <w:tr>
        <w:tc>
          <w:tcPr>
            <w:tcW w:type="dxa" w:w="2160"/>
          </w:tcPr>
          <w:p>
            <w:r>
              <w:rPr>
                <w:rFonts w:ascii="Calibri" w:hAnsi="Calibri"/>
                <w:sz w:val="22"/>
              </w:rPr>
              <w:t>Consumer Affordability</w:t>
            </w:r>
          </w:p>
        </w:tc>
        <w:tc>
          <w:tcPr>
            <w:tcW w:type="dxa" w:w="2160"/>
          </w:tcPr>
          <w:p>
            <w:r>
              <w:rPr>
                <w:rFonts w:ascii="Calibri" w:hAnsi="Calibri"/>
                <w:sz w:val="22"/>
              </w:rPr>
              <w:t>"The pressure on income, socioeconomic level, low income levels continues to be there, across the globe." KO is deploying its RGM toolkit to address both affordability and premiumization simultaneously.</w:t>
            </w:r>
          </w:p>
        </w:tc>
        <w:tc>
          <w:tcPr>
            <w:tcW w:type="dxa" w:w="2160"/>
          </w:tcPr>
          <w:p>
            <w:r>
              <w:rPr>
                <w:rFonts w:ascii="Calibri" w:hAnsi="Calibri"/>
                <w:sz w:val="22"/>
              </w:rPr>
              <w:t>Weak read-through. MNST's core consumer skews younger and more premium, but the broader value-seeking consumer trend could pressure impulse purchases in convenience channels. MNST's affordable brands (Predator, Fury) are a partial hedge.</w:t>
            </w:r>
          </w:p>
        </w:tc>
        <w:tc>
          <w:tcPr>
            <w:tcW w:type="dxa" w:w="2160"/>
          </w:tcPr>
          <w:p>
            <w:r>
              <w:rPr>
                <w:rFonts w:ascii="Calibri" w:hAnsi="Calibri"/>
                <w:b/>
                <w:sz w:val="22"/>
              </w:rPr>
              <w:t>Weak</w:t>
            </w:r>
          </w:p>
        </w:tc>
      </w:tr>
    </w:tbl>
    <w:p>
      <w:pPr>
        <w:pStyle w:val="Heading3"/>
      </w:pPr>
      <w:r>
        <w:rPr>
          <w:rFonts w:ascii="Calibri" w:hAnsi="Calibri"/>
          <w:b/>
          <w:color w:val="3B4259"/>
          <w:sz w:val="24"/>
        </w:rPr>
        <w:t>7C. Keurig Dr Pepper (KDP) — Q1 2026 Earnings (Reported June 11, 2026) — H2 2026 Outlook</w:t>
      </w:r>
    </w:p>
    <w:p>
      <w:r>
        <w:rPr>
          <w:rFonts w:ascii="Calibri" w:hAnsi="Calibri"/>
          <w:color w:val="525866"/>
          <w:sz w:val="22"/>
        </w:rPr>
        <w:t>KDP's Q1 2026 earnings (the most recent available) included forward-looking commentary about the energy drink category and U.S. beverage trends relevant to MNST's Q2 2026 period.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KDP Commentary (Q1 2026 / Forward Outlook)</w:t>
            </w:r>
          </w:p>
        </w:tc>
        <w:tc>
          <w:tcPr>
            <w:tcW w:type="dxa" w:w="2160"/>
            <w:shd w:val="clear" w:color="auto" w:fill="3B4259"/>
          </w:tcPr>
          <w:p>
            <w:r>
              <w:rPr>
                <w:rFonts w:ascii="Calibri" w:hAnsi="Calibri"/>
                <w:b/>
                <w:color w:val="FFFFFF"/>
                <w:sz w:val="22"/>
              </w:rPr>
              <w:t>Read-Through for MNST</w:t>
            </w:r>
          </w:p>
        </w:tc>
        <w:tc>
          <w:tcPr>
            <w:tcW w:type="dxa" w:w="2160"/>
            <w:shd w:val="clear" w:color="auto" w:fill="3B4259"/>
          </w:tcPr>
          <w:p>
            <w:r>
              <w:rPr>
                <w:rFonts w:ascii="Calibri" w:hAnsi="Calibri"/>
                <w:b/>
                <w:color w:val="FFFFFF"/>
                <w:sz w:val="22"/>
              </w:rPr>
              <w:t>Strength</w:t>
            </w:r>
          </w:p>
        </w:tc>
      </w:tr>
      <w:tr>
        <w:tc>
          <w:tcPr>
            <w:tcW w:type="dxa" w:w="2160"/>
          </w:tcPr>
          <w:p>
            <w:r>
              <w:rPr>
                <w:rFonts w:ascii="Calibri" w:hAnsi="Calibri"/>
                <w:sz w:val="22"/>
              </w:rPr>
              <w:t>Energy Category / Celsius Partnership</w:t>
            </w:r>
          </w:p>
        </w:tc>
        <w:tc>
          <w:tcPr>
            <w:tcW w:type="dxa" w:w="2160"/>
          </w:tcPr>
          <w:p>
            <w:r>
              <w:rPr>
                <w:rFonts w:ascii="Calibri" w:hAnsi="Calibri"/>
                <w:sz w:val="22"/>
              </w:rPr>
              <w:t>KDP distributes Celsius (CELH) in the U.S. and has visibility into energy drink category trends. KDP's Q1 2026 8-K (June 23) referenced ongoing energy category dynamics in the U.S. beverage market.</w:t>
            </w:r>
          </w:p>
        </w:tc>
        <w:tc>
          <w:tcPr>
            <w:tcW w:type="dxa" w:w="2160"/>
          </w:tcPr>
          <w:p>
            <w:r>
              <w:rPr>
                <w:rFonts w:ascii="Calibri" w:hAnsi="Calibri"/>
                <w:sz w:val="22"/>
              </w:rPr>
              <w:t>Weak read-through. KDP's distribution of Celsius provides indirect insight into U.S. energy drink category health, but KDP does not compete directly with Monster in the energy segment. Category-level data from KDP's U.S. beverage business is a secondary signal.</w:t>
            </w:r>
          </w:p>
        </w:tc>
        <w:tc>
          <w:tcPr>
            <w:tcW w:type="dxa" w:w="2160"/>
          </w:tcPr>
          <w:p>
            <w:r>
              <w:rPr>
                <w:rFonts w:ascii="Calibri" w:hAnsi="Calibri"/>
                <w:b/>
                <w:sz w:val="22"/>
              </w:rPr>
              <w:t>Weak</w:t>
            </w:r>
          </w:p>
        </w:tc>
      </w:tr>
    </w:tbl>
    <w:p>
      <w:pPr>
        <w:pStyle w:val="Heading3"/>
      </w:pPr>
      <w:r>
        <w:rPr>
          <w:rFonts w:ascii="Calibri" w:hAnsi="Calibri"/>
          <w:b/>
          <w:color w:val="3B4259"/>
          <w:sz w:val="24"/>
        </w:rPr>
        <w:t>7D. Celsius Holdings (CELH) — Recent Developments (July 2026)</w:t>
      </w:r>
    </w:p>
    <w:p>
      <w:r>
        <w:rPr>
          <w:rFonts w:ascii="Calibri" w:hAnsi="Calibri"/>
          <w:color w:val="525866"/>
          <w:sz w:val="22"/>
        </w:rPr>
        <w:t>CELH is Monster's most direct U.S. energy drink competitor. A CELH 8-K filed July 15, 2026 is the most recent available filing.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CELH Commentary / Development</w:t>
            </w:r>
          </w:p>
        </w:tc>
        <w:tc>
          <w:tcPr>
            <w:tcW w:type="dxa" w:w="2160"/>
            <w:shd w:val="clear" w:color="auto" w:fill="3B4259"/>
          </w:tcPr>
          <w:p>
            <w:r>
              <w:rPr>
                <w:rFonts w:ascii="Calibri" w:hAnsi="Calibri"/>
                <w:b/>
                <w:color w:val="FFFFFF"/>
                <w:sz w:val="22"/>
              </w:rPr>
              <w:t>Read-Through for MNST</w:t>
            </w:r>
          </w:p>
        </w:tc>
        <w:tc>
          <w:tcPr>
            <w:tcW w:type="dxa" w:w="2160"/>
            <w:shd w:val="clear" w:color="auto" w:fill="3B4259"/>
          </w:tcPr>
          <w:p>
            <w:r>
              <w:rPr>
                <w:rFonts w:ascii="Calibri" w:hAnsi="Calibri"/>
                <w:b/>
                <w:color w:val="FFFFFF"/>
                <w:sz w:val="22"/>
              </w:rPr>
              <w:t>Strength</w:t>
            </w:r>
          </w:p>
        </w:tc>
      </w:tr>
      <w:tr>
        <w:tc>
          <w:tcPr>
            <w:tcW w:type="dxa" w:w="2160"/>
          </w:tcPr>
          <w:p>
            <w:r>
              <w:rPr>
                <w:rFonts w:ascii="Calibri" w:hAnsi="Calibri"/>
                <w:sz w:val="22"/>
              </w:rPr>
              <w:t>U.S. Energy Category Competition</w:t>
            </w:r>
          </w:p>
        </w:tc>
        <w:tc>
          <w:tcPr>
            <w:tcW w:type="dxa" w:w="2160"/>
          </w:tcPr>
          <w:p>
            <w:r>
              <w:rPr>
                <w:rFonts w:ascii="Calibri" w:hAnsi="Calibri"/>
                <w:sz w:val="22"/>
              </w:rPr>
              <w:t>CELH filed an 8-K on July 15, 2026. CELH has been gaining U.S. market share in the energy drink category, particularly in the health-and-wellness segment, competing with Monster's Ultra and Reign lines. CELH's Q2 2026 earnings have not yet been reported as of the preparation date.</w:t>
            </w:r>
          </w:p>
        </w:tc>
        <w:tc>
          <w:tcPr>
            <w:tcW w:type="dxa" w:w="2160"/>
          </w:tcPr>
          <w:p>
            <w:r>
              <w:rPr>
                <w:rFonts w:ascii="Calibri" w:hAnsi="Calibri"/>
                <w:sz w:val="22"/>
              </w:rPr>
              <w:t>Direct competitive read-through. CELH's continued growth in the U.S. energy category is a headwind for MNST's domestic market share. However, MNST management stated at the DB Conference that Monster and Red Bull are "neck and neck" in the U.S. and that Monster was "ahead of them" in the most recent weekly Nielsen data, suggesting MNST is holding its own against CELH's challenge.</w:t>
            </w:r>
          </w:p>
        </w:tc>
        <w:tc>
          <w:tcPr>
            <w:tcW w:type="dxa" w:w="2160"/>
          </w:tcPr>
          <w:p>
            <w:r>
              <w:rPr>
                <w:rFonts w:ascii="Calibri" w:hAnsi="Calibri"/>
                <w:b/>
                <w:sz w:val="22"/>
              </w:rPr>
              <w:t>Direct</w:t>
            </w:r>
          </w:p>
        </w:tc>
      </w:tr>
    </w:tbl>
    <w:p>
      <w:pPr>
        <w:pStyle w:val="Heading3"/>
      </w:pPr>
      <w:r>
        <w:rPr>
          <w:rFonts w:ascii="Calibri" w:hAnsi="Calibri"/>
          <w:b/>
          <w:color w:val="3B4259"/>
          <w:sz w:val="24"/>
        </w:rPr>
        <w:t>7E. Broader Consumer Staples Peer Themes (Last 60 Days)</w:t>
      </w:r>
    </w:p>
    <w:p>
      <w:r>
        <w:rPr>
          <w:rFonts w:ascii="Calibri" w:hAnsi="Calibri"/>
          <w:color w:val="525866"/>
          <w:sz w:val="22"/>
        </w:rPr>
        <w:t>Several broader consumer staples earnings in the last 60 days provide macro context relevant to MNST's Q2 2026 setup:</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 / Theme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Read-Through for MNST</w:t>
            </w:r>
          </w:p>
        </w:tc>
        <w:tc>
          <w:tcPr>
            <w:tcW w:type="dxa" w:w="2160"/>
            <w:shd w:val="clear" w:color="auto" w:fill="3B4259"/>
          </w:tcPr>
          <w:p>
            <w:r>
              <w:rPr>
                <w:rFonts w:ascii="Calibri" w:hAnsi="Calibri"/>
                <w:b/>
                <w:color w:val="FFFFFF"/>
                <w:sz w:val="22"/>
              </w:rPr>
              <w:t>Strength</w:t>
            </w:r>
          </w:p>
        </w:tc>
      </w:tr>
      <w:tr>
        <w:tc>
          <w:tcPr>
            <w:tcW w:type="dxa" w:w="2160"/>
          </w:tcPr>
          <w:p>
            <w:r>
              <w:rPr>
                <w:rFonts w:ascii="Calibri" w:hAnsi="Calibri"/>
                <w:sz w:val="22"/>
              </w:rPr>
              <w:t>Mondelez (MDLZ) — Q2 2026 (Jul 28)</w:t>
            </w:r>
          </w:p>
        </w:tc>
        <w:tc>
          <w:tcPr>
            <w:tcW w:type="dxa" w:w="2160"/>
          </w:tcPr>
          <w:p>
            <w:r>
              <w:rPr>
                <w:rFonts w:ascii="Calibri" w:hAnsi="Calibri"/>
                <w:sz w:val="22"/>
              </w:rPr>
              <w:t>MDLZ reported Q2 organic sales growth of +2.2% vs. Street expectations of +0.9%, with strength in North America, Asia/ME/Africa, and Latin America. EPS of $0.73 vs. consensus $0.68. Raised full-year top-line guidance to "at least 2%" from prior 0-2%.</w:t>
            </w:r>
          </w:p>
        </w:tc>
        <w:tc>
          <w:tcPr>
            <w:tcW w:type="dxa" w:w="2160"/>
          </w:tcPr>
          <w:p>
            <w:r>
              <w:rPr>
                <w:rFonts w:ascii="Calibri" w:hAnsi="Calibri"/>
                <w:sz w:val="22"/>
              </w:rPr>
              <w:t>Weak positive. MDLZ's broad-based international beat (especially Asia/ME/Africa and LatAm) validates the international consumer demand environment that MNST is also leveraging. Not directly comparable given different product categories.</w:t>
            </w:r>
          </w:p>
        </w:tc>
        <w:tc>
          <w:tcPr>
            <w:tcW w:type="dxa" w:w="2160"/>
          </w:tcPr>
          <w:p>
            <w:r>
              <w:rPr>
                <w:rFonts w:ascii="Calibri" w:hAnsi="Calibri"/>
                <w:b/>
                <w:sz w:val="22"/>
              </w:rPr>
              <w:t>Weak</w:t>
            </w:r>
          </w:p>
        </w:tc>
      </w:tr>
      <w:tr>
        <w:tc>
          <w:tcPr>
            <w:tcW w:type="dxa" w:w="2160"/>
          </w:tcPr>
          <w:p>
            <w:r>
              <w:rPr>
                <w:rFonts w:ascii="Calibri" w:hAnsi="Calibri"/>
                <w:sz w:val="22"/>
              </w:rPr>
              <w:t>Church &amp; Dwight (CHD) — Q2 2026 (Jul 31)</w:t>
            </w:r>
          </w:p>
        </w:tc>
        <w:tc>
          <w:tcPr>
            <w:tcW w:type="dxa" w:w="2160"/>
          </w:tcPr>
          <w:p>
            <w:r>
              <w:rPr>
                <w:rFonts w:ascii="Calibri" w:hAnsi="Calibri"/>
                <w:sz w:val="22"/>
              </w:rPr>
              <w:t>CHD reported organic sales growth of +5.8% vs. Street expectations of +3.4%. Raised full-year guidance to EPS +6-8% and sales growth +4-5%. However, Q3 guidance appeared softer (EPS $0.89 vs. Street $0.93).</w:t>
            </w:r>
          </w:p>
        </w:tc>
        <w:tc>
          <w:tcPr>
            <w:tcW w:type="dxa" w:w="2160"/>
          </w:tcPr>
          <w:p>
            <w:r>
              <w:rPr>
                <w:rFonts w:ascii="Calibri" w:hAnsi="Calibri"/>
                <w:sz w:val="22"/>
              </w:rPr>
              <w:t>Weak positive. CHD's strong organic growth beat suggests U.S. consumer demand for branded consumer products remains resilient despite macro headwinds. Not directly applicable to energy drinks.</w:t>
            </w:r>
          </w:p>
        </w:tc>
        <w:tc>
          <w:tcPr>
            <w:tcW w:type="dxa" w:w="2160"/>
          </w:tcPr>
          <w:p>
            <w:r>
              <w:rPr>
                <w:rFonts w:ascii="Calibri" w:hAnsi="Calibri"/>
                <w:b/>
                <w:sz w:val="22"/>
              </w:rPr>
              <w:t>Weak</w:t>
            </w:r>
          </w:p>
        </w:tc>
      </w:tr>
      <w:tr>
        <w:tc>
          <w:tcPr>
            <w:tcW w:type="dxa" w:w="2160"/>
          </w:tcPr>
          <w:p>
            <w:r>
              <w:rPr>
                <w:rFonts w:ascii="Calibri" w:hAnsi="Calibri"/>
                <w:sz w:val="22"/>
              </w:rPr>
              <w:t>Clorox (CLX) — FQ4 2026 (Aug 3)</w:t>
            </w:r>
          </w:p>
        </w:tc>
        <w:tc>
          <w:tcPr>
            <w:tcW w:type="dxa" w:w="2160"/>
          </w:tcPr>
          <w:p>
            <w:r>
              <w:rPr>
                <w:rFonts w:ascii="Calibri" w:hAnsi="Calibri"/>
                <w:sz w:val="22"/>
              </w:rPr>
              <w:t>CLX reported a slight EPS beat but FY2027 guidance midpoint of $5.85 fell short of Street's $5.95. Management warned: "We expect the operating environment to remain challenging, with continued cost volatility and a value-seeking consumer."</w:t>
            </w:r>
          </w:p>
        </w:tc>
        <w:tc>
          <w:tcPr>
            <w:tcW w:type="dxa" w:w="2160"/>
          </w:tcPr>
          <w:p>
            <w:r>
              <w:rPr>
                <w:rFonts w:ascii="Calibri" w:hAnsi="Calibri"/>
                <w:sz w:val="22"/>
              </w:rPr>
              <w:t>Weak negative. CLX's cautionary tone on cost volatility and value-seeking consumers is a macro headwind relevant to all consumer staples, including MNST. However, MNST's premium positioning and strong brand equity provide more insulation than CLX.</w:t>
            </w:r>
          </w:p>
        </w:tc>
        <w:tc>
          <w:tcPr>
            <w:tcW w:type="dxa" w:w="2160"/>
          </w:tcPr>
          <w:p>
            <w:r>
              <w:rPr>
                <w:rFonts w:ascii="Calibri" w:hAnsi="Calibri"/>
                <w:b/>
                <w:sz w:val="22"/>
              </w:rPr>
              <w:t>Weak</w:t>
            </w:r>
          </w:p>
        </w:tc>
      </w:tr>
      <w:tr>
        <w:tc>
          <w:tcPr>
            <w:tcW w:type="dxa" w:w="2160"/>
          </w:tcPr>
          <w:p>
            <w:r>
              <w:rPr>
                <w:rFonts w:ascii="Calibri" w:hAnsi="Calibri"/>
                <w:sz w:val="22"/>
              </w:rPr>
              <w:t>Unilever — Q2 2026 (Jul 28)</w:t>
            </w:r>
          </w:p>
        </w:tc>
        <w:tc>
          <w:tcPr>
            <w:tcW w:type="dxa" w:w="2160"/>
          </w:tcPr>
          <w:p>
            <w:r>
              <w:rPr>
                <w:rFonts w:ascii="Calibri" w:hAnsi="Calibri"/>
                <w:sz w:val="22"/>
              </w:rPr>
              <w:t>Unilever reported solid Q2 organic revenue growth of +5.8%, exceeding Street expectations of +4.15%, with impressive volumes. Tweaked full-year guidance higher.</w:t>
            </w:r>
          </w:p>
        </w:tc>
        <w:tc>
          <w:tcPr>
            <w:tcW w:type="dxa" w:w="2160"/>
          </w:tcPr>
          <w:p>
            <w:r>
              <w:rPr>
                <w:rFonts w:ascii="Calibri" w:hAnsi="Calibri"/>
                <w:sz w:val="22"/>
              </w:rPr>
              <w:t>Weak positive. Unilever's broad-based international volume beat (particularly in emerging markets) is consistent with the global consumer demand environment that supports MNST's international expansion thesis.</w:t>
            </w:r>
          </w:p>
        </w:tc>
        <w:tc>
          <w:tcPr>
            <w:tcW w:type="dxa" w:w="2160"/>
          </w:tcPr>
          <w:p>
            <w:r>
              <w:rPr>
                <w:rFonts w:ascii="Calibri" w:hAnsi="Calibri"/>
                <w:b/>
                <w:sz w:val="22"/>
              </w:rPr>
              <w:t>Weak</w:t>
            </w:r>
          </w:p>
        </w:tc>
      </w:tr>
      <w:tr>
        <w:tc>
          <w:tcPr>
            <w:tcW w:type="dxa" w:w="2160"/>
          </w:tcPr>
          <w:p>
            <w:r>
              <w:rPr>
                <w:rFonts w:ascii="Calibri" w:hAnsi="Calibri"/>
                <w:sz w:val="22"/>
              </w:rPr>
              <w:t>Nestle — Q2 2026 (Jul 23)</w:t>
            </w:r>
          </w:p>
        </w:tc>
        <w:tc>
          <w:tcPr>
            <w:tcW w:type="dxa" w:w="2160"/>
          </w:tcPr>
          <w:p>
            <w:r>
              <w:rPr>
                <w:rFonts w:ascii="Calibri" w:hAnsi="Calibri"/>
                <w:sz w:val="22"/>
              </w:rPr>
              <w:t>Nestle shares tumbled after Q2 organic growth of +3.7% was in line with expectations, but Americas underperformed at +2.8% vs. Street's +3.7%, and management lowered H2 margin guidance to flat vs. prior forecast of improvement.</w:t>
            </w:r>
          </w:p>
        </w:tc>
        <w:tc>
          <w:tcPr>
            <w:tcW w:type="dxa" w:w="2160"/>
          </w:tcPr>
          <w:p>
            <w:r>
              <w:rPr>
                <w:rFonts w:ascii="Calibri" w:hAnsi="Calibri"/>
                <w:sz w:val="22"/>
              </w:rPr>
              <w:t>Weak negative. Nestle's Americas underperformance and margin guidance cut are a cautionary data point for the broader consumer staples sector. However, MNST's energy drink category dynamics are structurally different from Nestle's food/nutrition portfolio.</w:t>
            </w:r>
          </w:p>
        </w:tc>
        <w:tc>
          <w:tcPr>
            <w:tcW w:type="dxa" w:w="2160"/>
          </w:tcPr>
          <w:p>
            <w:r>
              <w:rPr>
                <w:rFonts w:ascii="Calibri" w:hAnsi="Calibri"/>
                <w:b/>
                <w:sz w:val="22"/>
              </w:rPr>
              <w:t>Weak</w:t>
            </w:r>
          </w:p>
        </w:tc>
      </w:tr>
    </w:tbl>
    <w:p>
      <w:r>
        <w:rPr>
          <w:rFonts w:ascii="Calibri" w:hAnsi="Calibri"/>
          <w:b/>
          <w:color w:val="525866"/>
          <w:sz w:val="22"/>
        </w:rPr>
        <w:t>Summary of Peer Read-Throughs:</w:t>
      </w:r>
      <w:r>
        <w:rPr>
          <w:rFonts w:ascii="Calibri" w:hAnsi="Calibri"/>
          <w:color w:val="525866"/>
          <w:sz w:val="22"/>
        </w:rPr>
        <w:t xml:space="preserve"> The net read-through from peers is modestly positive for MNST's Q2 2026 print. KO's strong volume beat and raised guidance, combined with PEP's resilient international commentary, support MNST's international growth thesis. The key risk is PEP's warning on U.S. impulse channel softness (convenience stores / gas stations), which is the primary domestic channel for energy drinks. The India regulatory risk (energy drink labeling) is a new wildcard that could affect one of MNST's fastest-growing markets.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2026 earnings date (May 7, 2026) are open-market sales — no open-market purchases. The most notable is Chief Strategy Officer Emelie Tirre's sale of ~98,700 shares (~$8.5M) in two transactions on May 13-14, representing a significant reduction in her direct holdings. None of the transactions appear to be under a disclosed 10b5-1 plan based on available Form 4 data, making them discretionary sales. The cluster of sales immediately following the Q1 earnings beat (within 8 days) is worth noting, though post-earnings windows are common for insider liquidity events.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Tirre, Emelie</w:t>
            </w:r>
          </w:p>
        </w:tc>
        <w:tc>
          <w:tcPr>
            <w:tcW w:type="dxa" w:w="1234"/>
          </w:tcPr>
          <w:p>
            <w:r>
              <w:rPr>
                <w:rFonts w:ascii="Calibri" w:hAnsi="Calibri"/>
                <w:sz w:val="22"/>
              </w:rPr>
              <w:t>Chief Strategy Officer</w:t>
            </w:r>
          </w:p>
        </w:tc>
        <w:tc>
          <w:tcPr>
            <w:tcW w:type="dxa" w:w="1234"/>
          </w:tcPr>
          <w:p>
            <w:r>
              <w:rPr>
                <w:rFonts w:ascii="Calibri" w:hAnsi="Calibri"/>
                <w:sz w:val="22"/>
              </w:rPr>
              <w:t>Open Market Sale</w:t>
            </w:r>
          </w:p>
        </w:tc>
        <w:tc>
          <w:tcPr>
            <w:tcW w:type="dxa" w:w="1234"/>
          </w:tcPr>
          <w:p>
            <w:r>
              <w:rPr>
                <w:rFonts w:ascii="Calibri" w:hAnsi="Calibri"/>
                <w:sz w:val="22"/>
              </w:rPr>
              <w:t>88,700</w:t>
            </w:r>
          </w:p>
        </w:tc>
        <w:tc>
          <w:tcPr>
            <w:tcW w:type="dxa" w:w="1234"/>
          </w:tcPr>
          <w:p>
            <w:r>
              <w:rPr>
                <w:rFonts w:ascii="Calibri" w:hAnsi="Calibri"/>
                <w:sz w:val="22"/>
              </w:rPr>
              <w:t>~$7.6M (est. at ~$86/sh)</w:t>
            </w:r>
          </w:p>
        </w:tc>
        <w:tc>
          <w:tcPr>
            <w:tcW w:type="dxa" w:w="1234"/>
          </w:tcPr>
          <w:p>
            <w:r>
              <w:rPr>
                <w:rFonts w:ascii="Calibri" w:hAnsi="Calibri"/>
                <w:sz w:val="22"/>
              </w:rPr>
              <w:t>May 13, 2026</w:t>
            </w:r>
          </w:p>
        </w:tc>
        <w:tc>
          <w:tcPr>
            <w:tcW w:type="dxa" w:w="1234"/>
          </w:tcPr>
          <w:p>
            <w:r>
              <w:rPr>
                <w:rFonts w:ascii="Calibri" w:hAnsi="Calibri"/>
                <w:sz w:val="22"/>
              </w:rPr>
              <w:t>Discretionary; no 10b5-1 plan disclosed. Sold within 6 days of Q1 earnings beat. Retained 81,763 shares post-transaction.</w:t>
            </w:r>
          </w:p>
        </w:tc>
      </w:tr>
      <w:tr>
        <w:tc>
          <w:tcPr>
            <w:tcW w:type="dxa" w:w="1234"/>
          </w:tcPr>
          <w:p>
            <w:r>
              <w:rPr>
                <w:rFonts w:ascii="Calibri" w:hAnsi="Calibri"/>
                <w:sz w:val="22"/>
              </w:rPr>
              <w:t>Tirre, Emelie</w:t>
            </w:r>
          </w:p>
        </w:tc>
        <w:tc>
          <w:tcPr>
            <w:tcW w:type="dxa" w:w="1234"/>
          </w:tcPr>
          <w:p>
            <w:r>
              <w:rPr>
                <w:rFonts w:ascii="Calibri" w:hAnsi="Calibri"/>
                <w:sz w:val="22"/>
              </w:rPr>
              <w:t>Chief Strategy Officer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~$870K (est. at ~$87/sh)</w:t>
            </w:r>
          </w:p>
        </w:tc>
        <w:tc>
          <w:tcPr>
            <w:tcW w:type="dxa" w:w="1234"/>
          </w:tcPr>
          <w:p>
            <w:r>
              <w:rPr>
                <w:rFonts w:ascii="Calibri" w:hAnsi="Calibri"/>
                <w:sz w:val="22"/>
              </w:rPr>
              <w:t>May 14, 2026</w:t>
            </w:r>
          </w:p>
        </w:tc>
        <w:tc>
          <w:tcPr>
            <w:tcW w:type="dxa" w:w="1234"/>
          </w:tcPr>
          <w:p>
            <w:r>
              <w:rPr>
                <w:rFonts w:ascii="Calibri" w:hAnsi="Calibri"/>
                <w:sz w:val="22"/>
              </w:rPr>
              <w:t>Discretionary; no 10b5-1 plan disclosed. Second consecutive day of selling. Retained 74,011 shares post-transaction.</w:t>
            </w:r>
          </w:p>
        </w:tc>
      </w:tr>
      <w:tr>
        <w:tc>
          <w:tcPr>
            <w:tcW w:type="dxa" w:w="1234"/>
          </w:tcPr>
          <w:p>
            <w:r>
              <w:rPr>
                <w:rFonts w:ascii="Calibri" w:hAnsi="Calibri"/>
                <w:sz w:val="22"/>
              </w:rPr>
              <w:t>Kelly, Thomas J.</w:t>
            </w:r>
          </w:p>
        </w:tc>
        <w:tc>
          <w:tcPr>
            <w:tcW w:type="dxa" w:w="1234"/>
          </w:tcPr>
          <w:p>
            <w:r>
              <w:rPr>
                <w:rFonts w:ascii="Calibri" w:hAnsi="Calibri"/>
                <w:sz w:val="22"/>
              </w:rPr>
              <w:t>Chief Financial Officer</w:t>
            </w:r>
          </w:p>
        </w:tc>
        <w:tc>
          <w:tcPr>
            <w:tcW w:type="dxa" w:w="1234"/>
          </w:tcPr>
          <w:p>
            <w:r>
              <w:rPr>
                <w:rFonts w:ascii="Calibri" w:hAnsi="Calibri"/>
                <w:sz w:val="22"/>
              </w:rPr>
              <w:t>Open Market Sale</w:t>
            </w:r>
          </w:p>
        </w:tc>
        <w:tc>
          <w:tcPr>
            <w:tcW w:type="dxa" w:w="1234"/>
          </w:tcPr>
          <w:p>
            <w:r>
              <w:rPr>
                <w:rFonts w:ascii="Calibri" w:hAnsi="Calibri"/>
                <w:sz w:val="22"/>
              </w:rPr>
              <w:t>7,000</w:t>
            </w:r>
          </w:p>
        </w:tc>
        <w:tc>
          <w:tcPr>
            <w:tcW w:type="dxa" w:w="1234"/>
          </w:tcPr>
          <w:p>
            <w:r>
              <w:rPr>
                <w:rFonts w:ascii="Calibri" w:hAnsi="Calibri"/>
                <w:sz w:val="22"/>
              </w:rPr>
              <w:t>~$602K (est. at ~$86/sh)</w:t>
            </w:r>
          </w:p>
        </w:tc>
        <w:tc>
          <w:tcPr>
            <w:tcW w:type="dxa" w:w="1234"/>
          </w:tcPr>
          <w:p>
            <w:r>
              <w:rPr>
                <w:rFonts w:ascii="Calibri" w:hAnsi="Calibri"/>
                <w:sz w:val="22"/>
              </w:rPr>
              <w:t>May 13, 2026</w:t>
            </w:r>
          </w:p>
        </w:tc>
        <w:tc>
          <w:tcPr>
            <w:tcW w:type="dxa" w:w="1234"/>
          </w:tcPr>
          <w:p>
            <w:r>
              <w:rPr>
                <w:rFonts w:ascii="Calibri" w:hAnsi="Calibri"/>
                <w:sz w:val="22"/>
              </w:rPr>
              <w:t>Discretionary; no 10b5-1 plan disclosed. CFO sale within 6 days of Q1 earnings beat. Retained 62,553 shares post-transaction.</w:t>
            </w:r>
          </w:p>
        </w:tc>
      </w:tr>
      <w:tr>
        <w:tc>
          <w:tcPr>
            <w:tcW w:type="dxa" w:w="1234"/>
          </w:tcPr>
          <w:p>
            <w:r>
              <w:rPr>
                <w:rFonts w:ascii="Calibri" w:hAnsi="Calibri"/>
                <w:sz w:val="22"/>
              </w:rPr>
              <w:t>Hall, Mark J.</w:t>
            </w:r>
          </w:p>
        </w:tc>
        <w:tc>
          <w:tcPr>
            <w:tcW w:type="dxa" w:w="1234"/>
          </w:tcPr>
          <w:p>
            <w:r>
              <w:rPr>
                <w:rFonts w:ascii="Calibri" w:hAnsi="Calibri"/>
                <w:sz w:val="22"/>
              </w:rPr>
              <w:t>Director</w:t>
            </w:r>
          </w:p>
        </w:tc>
        <w:tc>
          <w:tcPr>
            <w:tcW w:type="dxa" w:w="1234"/>
          </w:tcPr>
          <w:p>
            <w:r>
              <w:rPr>
                <w:rFonts w:ascii="Calibri" w:hAnsi="Calibri"/>
                <w:sz w:val="22"/>
              </w:rPr>
              <w:t>Open Market Sale (Indirect)</w:t>
            </w:r>
          </w:p>
        </w:tc>
        <w:tc>
          <w:tcPr>
            <w:tcW w:type="dxa" w:w="1234"/>
          </w:tcPr>
          <w:p>
            <w:r>
              <w:rPr>
                <w:rFonts w:ascii="Calibri" w:hAnsi="Calibri"/>
                <w:sz w:val="22"/>
              </w:rPr>
              <w:t>54,000</w:t>
            </w:r>
          </w:p>
        </w:tc>
        <w:tc>
          <w:tcPr>
            <w:tcW w:type="dxa" w:w="1234"/>
          </w:tcPr>
          <w:p>
            <w:r>
              <w:rPr>
                <w:rFonts w:ascii="Calibri" w:hAnsi="Calibri"/>
                <w:sz w:val="22"/>
              </w:rPr>
              <w:t>~$4.7M (est. at ~$87/sh)</w:t>
            </w:r>
          </w:p>
        </w:tc>
        <w:tc>
          <w:tcPr>
            <w:tcW w:type="dxa" w:w="1234"/>
          </w:tcPr>
          <w:p>
            <w:r>
              <w:rPr>
                <w:rFonts w:ascii="Calibri" w:hAnsi="Calibri"/>
                <w:sz w:val="22"/>
              </w:rPr>
              <w:t>May 14, 2026</w:t>
            </w:r>
          </w:p>
        </w:tc>
        <w:tc>
          <w:tcPr>
            <w:tcW w:type="dxa" w:w="1234"/>
          </w:tcPr>
          <w:p>
            <w:r>
              <w:rPr>
                <w:rFonts w:ascii="Calibri" w:hAnsi="Calibri"/>
                <w:sz w:val="22"/>
              </w:rPr>
              <w:t>Sold through MJCF Hall Family Trust (indirect ownership). No 10b5-1 plan disclosed. Retained 299,246 shares post-transaction.</w:t>
            </w:r>
          </w:p>
        </w:tc>
      </w:tr>
      <w:tr>
        <w:tc>
          <w:tcPr>
            <w:tcW w:type="dxa" w:w="1234"/>
          </w:tcPr>
          <w:p>
            <w:r>
              <w:rPr>
                <w:rFonts w:ascii="Calibri" w:hAnsi="Calibri"/>
                <w:sz w:val="22"/>
              </w:rPr>
              <w:t>Carling, Guy</w:t>
            </w:r>
          </w:p>
        </w:tc>
        <w:tc>
          <w:tcPr>
            <w:tcW w:type="dxa" w:w="1234"/>
          </w:tcPr>
          <w:p>
            <w:r>
              <w:rPr>
                <w:rFonts w:ascii="Calibri" w:hAnsi="Calibri"/>
                <w:sz w:val="22"/>
              </w:rPr>
              <w:t>CEO, EMEA and OSP</w:t>
            </w:r>
          </w:p>
        </w:tc>
        <w:tc>
          <w:tcPr>
            <w:tcW w:type="dxa" w:w="1234"/>
          </w:tcPr>
          <w:p>
            <w:r>
              <w:rPr>
                <w:rFonts w:ascii="Calibri" w:hAnsi="Calibri"/>
                <w:sz w:val="22"/>
              </w:rPr>
              <w:t>Open Market Sale</w:t>
            </w:r>
          </w:p>
        </w:tc>
        <w:tc>
          <w:tcPr>
            <w:tcW w:type="dxa" w:w="1234"/>
          </w:tcPr>
          <w:p>
            <w:r>
              <w:rPr>
                <w:rFonts w:ascii="Calibri" w:hAnsi="Calibri"/>
                <w:sz w:val="22"/>
              </w:rPr>
              <w:t>19,000</w:t>
            </w:r>
          </w:p>
        </w:tc>
        <w:tc>
          <w:tcPr>
            <w:tcW w:type="dxa" w:w="1234"/>
          </w:tcPr>
          <w:p>
            <w:r>
              <w:rPr>
                <w:rFonts w:ascii="Calibri" w:hAnsi="Calibri"/>
                <w:sz w:val="22"/>
              </w:rPr>
              <w:t>~$1.7M (est. at ~$91/sh)</w:t>
            </w:r>
          </w:p>
        </w:tc>
        <w:tc>
          <w:tcPr>
            <w:tcW w:type="dxa" w:w="1234"/>
          </w:tcPr>
          <w:p>
            <w:r>
              <w:rPr>
                <w:rFonts w:ascii="Calibri" w:hAnsi="Calibri"/>
                <w:sz w:val="22"/>
              </w:rPr>
              <w:t>Jun 10, 2026</w:t>
            </w:r>
          </w:p>
        </w:tc>
        <w:tc>
          <w:tcPr>
            <w:tcW w:type="dxa" w:w="1234"/>
          </w:tcPr>
          <w:p>
            <w:r>
              <w:rPr>
                <w:rFonts w:ascii="Calibri" w:hAnsi="Calibri"/>
                <w:sz w:val="22"/>
              </w:rPr>
              <w:t>Discretionary; no 10b5-1 plan disclosed. EMEA CEO sold ~5 weeks after Q1 earnings. Retained 21,863 shares post-transaction.</w:t>
            </w:r>
          </w:p>
        </w:tc>
      </w:tr>
    </w:tbl>
    <w:p>
      <w:r>
        <w:rPr>
          <w:rFonts w:ascii="Calibri" w:hAnsi="Calibri"/>
          <w:b/>
          <w:color w:val="525866"/>
          <w:sz w:val="22"/>
        </w:rPr>
        <w:t>Assessment:</w:t>
      </w:r>
      <w:r>
        <w:rPr>
          <w:rFonts w:ascii="Calibri" w:hAnsi="Calibri"/>
          <w:color w:val="525866"/>
          <w:sz w:val="22"/>
        </w:rPr>
        <w:t xml:space="preserve"> The cluster of discretionary open-market sales by the CFO, Chief Strategy Officer (two transactions), a Director, and the EMEA CEO within 5-6 weeks of the Q1 earnings beat is notable. While post-earnings sales are common as insiders take advantage of open trading windows, the absence of any disclosed 10b5-1 plans and the size of the CSO's sale (~$8.5M, representing a significant reduction in her direct holdings) warrants attention. No open-market purchases were recorded in the period. The overall signal is mildly cautionary but not alarming — insiders are selling into strength, which is consistent with the stock's ~26% gain since the Q1 print.</w:t>
      </w:r>
    </w:p>
    <w:p>
      <w:r>
        <w:rPr>
          <w:rFonts w:ascii="Calibri" w:hAnsi="Calibri"/>
          <w:i/>
          <w:color w:val="525866"/>
          <w:sz w:val="22"/>
        </w:rPr>
        <w:t>Source: SEC Form 4 filings database. Transaction values estimated based on approximate share prices on transaction dates.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