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14eaa61bc1121c47f0d266c7f1e9860fd526239"/>
    <w:p>
      <w:pPr>
        <w:pStyle w:val="Heading1"/>
      </w:pPr>
      <w:r>
        <w:t xml:space="preserve">The Mosaic Company (NYSE: MOS) —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Wednesday, August 5, 11:00 a.m. ET</w:t>
      </w:r>
    </w:p>
    <w:p>
      <w:r>
        <w:pict>
          <v:rect style="width:0;height:1.5pt" o:hralign="center" o:hrstd="t" o:hr="t"/>
        </w:pict>
      </w:r>
    </w:p>
    <w:bookmarkStart w:id="9" w:name="Xb7084180adc307672aa4c22ec3a0fbfc58fc571"/>
    <w:p>
      <w:pPr>
        <w:pStyle w:val="Heading2"/>
      </w:pPr>
      <w:r>
        <w:t xml:space="preserve">1.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(8/3/26)</w:t>
            </w:r>
          </w:p>
        </w:tc>
        <w:tc>
          <w:tcPr/>
          <w:p>
            <w:pPr>
              <w:pStyle w:val="Compact"/>
            </w:pPr>
            <w:r>
              <w:t xml:space="preserve">~$21.82</w:t>
            </w:r>
          </w:p>
        </w:tc>
      </w:tr>
      <w:tr>
        <w:tc>
          <w:tcPr/>
          <w:p>
            <w:pPr>
              <w:pStyle w:val="Compact"/>
            </w:pPr>
            <w:r>
              <w:t xml:space="preserve">52-week range (approx.)</w:t>
            </w:r>
          </w:p>
        </w:tc>
        <w:tc>
          <w:tcPr/>
          <w:p>
            <w:pPr>
              <w:pStyle w:val="Compact"/>
            </w:pPr>
            <w:r>
              <w:t xml:space="preserve">$19.82 – $26.62</w:t>
            </w:r>
          </w:p>
        </w:tc>
      </w:tr>
      <w:tr>
        <w:tc>
          <w:tcPr/>
          <w:p>
            <w:pPr>
              <w:pStyle w:val="Compact"/>
            </w:pPr>
            <w:r>
              <w:t xml:space="preserve">Consensus Q2 EPS</w:t>
            </w:r>
          </w:p>
        </w:tc>
        <w:tc>
          <w:tcPr/>
          <w:p>
            <w:pPr>
              <w:pStyle w:val="Compact"/>
            </w:pPr>
            <w:r>
              <w:t xml:space="preserve">~</w:t>
            </w:r>
            <m:oMath>
              <m:r>
                <m:t>0.08</m:t>
              </m:r>
              <m:r>
                <m:rPr>
                  <m:sty m:val="p"/>
                </m:rPr>
                <m:t>–</m:t>
              </m:r>
            </m:oMath>
            <w:r>
              <w:t xml:space="preserve">0.11 (vs. $0.51 a year ago)</w:t>
            </w:r>
          </w:p>
        </w:tc>
      </w:tr>
      <w:tr>
        <w:tc>
          <w:tcPr/>
          <w:p>
            <w:pPr>
              <w:pStyle w:val="Compact"/>
            </w:pPr>
            <w:r>
              <w:t xml:space="preserve">Consensus Q2 revenue</w:t>
            </w:r>
          </w:p>
        </w:tc>
        <w:tc>
          <w:tcPr/>
          <w:p>
            <w:pPr>
              <w:pStyle w:val="Compact"/>
            </w:pPr>
            <w:r>
              <w:t xml:space="preserve">~$3.05B</w:t>
            </w:r>
          </w:p>
        </w:tc>
      </w:tr>
      <w:tr>
        <w:tc>
          <w:tcPr/>
          <w:p>
            <w:pPr>
              <w:pStyle w:val="Compact"/>
            </w:pPr>
            <w:r>
              <w:t xml:space="preserve">Q1 2026 actual</w:t>
            </w:r>
          </w:p>
        </w:tc>
        <w:tc>
          <w:tcPr/>
          <w:p>
            <w:pPr>
              <w:pStyle w:val="Compact"/>
            </w:pPr>
            <w:r>
              <w:t xml:space="preserve">Adj. EPS $0.05 (missed consensus of $0.20); GAAP net loss of $258M</w:t>
            </w:r>
          </w:p>
        </w:tc>
      </w:tr>
    </w:tbl>
    <w:p>
      <w:pPr>
        <w:pStyle w:val="BodyText"/>
      </w:pPr>
      <w:r>
        <w:t xml:space="preserve">Mosaic goes into this print with a stock that has slid from roughly $26.50 in early April to under $22 today, a string of analyst price-target cuts, and a business that has been whipsawed for two straight quarters by an extraordinary spike in raw-material costs tied to the Middle East conflict. The core question for the quarter isn't really about demand — it's about how much margin the sulfur/ammonia shock has eaten, and whether Mosaic's production curtailments have gone deeper than the guidance issued back in May.</w:t>
      </w:r>
    </w:p>
    <w:p>
      <w:r>
        <w:pict>
          <v:rect style="width:0;height:1.5pt" o:hralign="center" o:hrstd="t" o:hr="t"/>
        </w:pict>
      </w:r>
    </w:p>
    <w:bookmarkEnd w:id="9"/>
    <w:bookmarkStart w:id="10" w:name="Xdc257ad3069e9124bc5fc8003e608f2a7b149ba"/>
    <w:p>
      <w:pPr>
        <w:pStyle w:val="Heading2"/>
      </w:pPr>
      <w:r>
        <w:t xml:space="preserve">2. What happened last quarter (Q1 2026 recap)</w:t>
      </w:r>
    </w:p>
    <w:p>
      <w:pPr>
        <w:pStyle w:val="FirstParagraph"/>
      </w:pPr>
      <w:r>
        <w:t xml:space="preserve">Mosaic's first-quarter print set the tone for this whole earnings cycle. The company reported a</w:t>
      </w:r>
      <w:r>
        <w:t xml:space="preserve"> </w:t>
      </w:r>
      <w:r>
        <w:rPr>
          <w:b/>
          <w:bCs/>
        </w:rPr>
        <w:t xml:space="preserve">net loss of</w:t>
      </w:r>
      <w:r>
        <w:rPr>
          <w:b/>
          <w:bCs/>
        </w:rPr>
        <w:t xml:space="preserve"> </w:t>
      </w:r>
      <m:oMath>
        <m:r>
          <m:t>258</m:t>
        </m:r>
        <m:r>
          <m:t>m</m:t>
        </m:r>
        <m:r>
          <m:t>i</m:t>
        </m:r>
        <m:r>
          <m:t>l</m:t>
        </m:r>
        <m:r>
          <m:t>l</m:t>
        </m:r>
        <m:r>
          <m:t>i</m:t>
        </m:r>
        <m:r>
          <m:t>o</m:t>
        </m:r>
        <m:r>
          <m:t>n</m:t>
        </m:r>
        <m:r>
          <m:rPr>
            <m:sty m:val="p"/>
          </m:rPr>
          <m:t>(</m:t>
        </m:r>
      </m:oMath>
      <w:r>
        <w:rPr>
          <w:b/>
          <w:bCs/>
        </w:rPr>
        <w:t xml:space="preserve">(0.81) diluted EPS)</w:t>
      </w:r>
      <w:r>
        <w:t xml:space="preserve"> </w:t>
      </w:r>
      <w:r>
        <w:t xml:space="preserve">against a net income of $238 million a year earlier, with</w:t>
      </w:r>
      <w:r>
        <w:t xml:space="preserve"> </w:t>
      </w:r>
      <w:r>
        <w:rPr>
          <w:b/>
          <w:bCs/>
        </w:rPr>
        <w:t xml:space="preserve">adjusted EBITDA of $416 million</w:t>
      </w:r>
      <w:r>
        <w:t xml:space="preserve">, down from $544 million, and **adjusted EPS of just</w:t>
      </w:r>
      <w:r>
        <w:t xml:space="preserve"> </w:t>
      </w:r>
      <m:oMath>
        <m:r>
          <m:t>0.05</m:t>
        </m:r>
        <m:r>
          <m:rPr>
            <m:sty m:val="p"/>
          </m:rPr>
          <m:t>*</m:t>
        </m:r>
        <m:r>
          <m:rPr>
            <m:sty m:val="p"/>
          </m:rPr>
          <m:t>*</m:t>
        </m:r>
        <m:r>
          <m:rPr>
            <m:sty m:val="p"/>
          </m:rPr>
          <m:t>—</m:t>
        </m:r>
        <m:r>
          <m:t>w</m:t>
        </m:r>
        <m:r>
          <m:t>e</m:t>
        </m:r>
        <m:r>
          <m:t>l</m:t>
        </m:r>
        <m:r>
          <m:t>l</m:t>
        </m:r>
        <m:r>
          <m:t>b</m:t>
        </m:r>
        <m:r>
          <m:t>e</m:t>
        </m:r>
        <m:r>
          <m:t>l</m:t>
        </m:r>
        <m:r>
          <m:t>o</m:t>
        </m:r>
        <m:r>
          <m:t>w</m:t>
        </m:r>
        <m:r>
          <m:t>t</m:t>
        </m:r>
        <m:r>
          <m:t>h</m:t>
        </m:r>
        <m:r>
          <m:t>e</m:t>
        </m:r>
        <m:r>
          <m:t> </m:t>
        </m:r>
      </m:oMath>
      <w:r>
        <w:t xml:space="preserve">0.20 the Street had modeled.</w:t>
      </w:r>
    </w:p>
    <w:p>
      <w:pPr>
        <w:pStyle w:val="BodyText"/>
      </w:pPr>
      <w:r>
        <w:t xml:space="preserve">The damage was concentrated in two places:</w:t>
      </w:r>
    </w:p>
    <w:p>
      <w:pPr>
        <w:pStyle w:val="Compact"/>
        <w:numPr>
          <w:ilvl w:val="0"/>
          <w:numId w:val="1001"/>
        </w:numPr>
      </w:pPr>
      <w:r>
        <w:t xml:space="preserve">**Phosphate segment operating loss of</w:t>
      </w:r>
      <w:r>
        <w:t xml:space="preserve"> </w:t>
      </w:r>
      <m:oMath>
        <m:r>
          <m:t>48</m:t>
        </m:r>
        <m:r>
          <m:t>m</m:t>
        </m:r>
        <m:r>
          <m:t>i</m:t>
        </m:r>
        <m:r>
          <m:t>l</m:t>
        </m:r>
        <m:r>
          <m:t>l</m:t>
        </m:r>
        <m:r>
          <m:t>i</m:t>
        </m:r>
        <m:r>
          <m:t>o</m:t>
        </m:r>
        <m:r>
          <m:t>n</m:t>
        </m:r>
        <m:r>
          <m:rPr>
            <m:sty m:val="p"/>
          </m:rPr>
          <m:t>*</m:t>
        </m:r>
        <m:r>
          <m:rPr>
            <m:sty m:val="p"/>
          </m:rPr>
          <m:t>*</m:t>
        </m:r>
        <m:r>
          <m:rPr>
            <m:sty m:val="p"/>
          </m:rPr>
          <m:t>(</m:t>
        </m:r>
        <m:r>
          <m:t>v</m:t>
        </m:r>
        <m:r>
          <m:t>s</m:t>
        </m:r>
        <m:r>
          <m:rPr>
            <m:sty m:val="p"/>
          </m:rPr>
          <m:t>.</m:t>
        </m:r>
        <m:r>
          <m:rPr>
            <m:sty m:val="p"/>
          </m:rPr>
          <m:t>+</m:t>
        </m:r>
      </m:oMath>
      <w:r>
        <w:t xml:space="preserve">139M a year ago) as sulfur costs averaged $379/long ton (up 141% YoY) and ammonia averaged $626/tonne (up 50% YoY), swamping higher volumes and prices.</w:t>
      </w:r>
    </w:p>
    <w:p>
      <w:pPr>
        <w:pStyle w:val="Compact"/>
        <w:numPr>
          <w:ilvl w:val="0"/>
          <w:numId w:val="1001"/>
        </w:numPr>
      </w:pPr>
      <w:r>
        <w:rPr>
          <w:b/>
          <w:bCs/>
        </w:rPr>
        <w:t xml:space="preserve">Mosaic Fertilizantes (Brazil) operating loss of $422 million</w:t>
      </w:r>
      <w:r>
        <w:t xml:space="preserve">, driven by $442 million of charges tied to idling/divesting the Araxá SSP complex and the Patrocínio mine.</w:t>
      </w:r>
    </w:p>
    <w:p>
      <w:pPr>
        <w:pStyle w:val="FirstParagraph"/>
      </w:pPr>
      <w:r>
        <w:t xml:space="preserve">Management framed the quarter around three themes it will likely revisit tomorrow: (1) an extraordinarily tight and volatile raw-material market, (2) Mosaic's ability to "differentiate" via improved U.S. phosphoric-acid operating rates (3 of 4 U.S. plants at target rates, New Wales turnaround completed), and (3) disciplined capital reallocation — CapEx cut to $1.25B, a new $50M cost-savings program on top of an existing $100M target, and asset sales (Carlsbad potash mine, Araxá).</w:t>
      </w:r>
    </w:p>
    <w:p>
      <w:pPr>
        <w:pStyle w:val="BodyText"/>
      </w:pPr>
      <w:r>
        <w:t xml:space="preserve">Crucially, Mosaic</w:t>
      </w:r>
      <w:r>
        <w:t xml:space="preserve"> </w:t>
      </w:r>
      <w:r>
        <w:rPr>
          <w:b/>
          <w:bCs/>
        </w:rPr>
        <w:t xml:space="preserve">withdrew full-year 2026 phosphate production guidance</w:t>
      </w:r>
      <w:r>
        <w:t xml:space="preserve"> </w:t>
      </w:r>
      <w:r>
        <w:t xml:space="preserve">and began</w:t>
      </w:r>
      <w:r>
        <w:t xml:space="preserve"> </w:t>
      </w:r>
      <w:r>
        <w:rPr>
          <w:b/>
          <w:bCs/>
        </w:rPr>
        <w:t xml:space="preserve">partial curtailments at Louisiana and Bartow</w:t>
      </w:r>
      <w:r>
        <w:t xml:space="preserve"> </w:t>
      </w:r>
      <w:r>
        <w:t xml:space="preserve">as it judged marginal stripping margins uneconomic given sulfur trading near $1,200/tonne on the margin.</w:t>
      </w:r>
    </w:p>
    <w:p>
      <w:r>
        <w:pict>
          <v:rect style="width:0;height:1.5pt" o:hralign="center" o:hrstd="t" o:hr="t"/>
        </w:pict>
      </w:r>
    </w:p>
    <w:bookmarkEnd w:id="10"/>
    <w:bookmarkStart w:id="11" w:name="Xfbb1bc0ad62e86b6cfe414d8c8ca48eab3df4e5"/>
    <w:p>
      <w:pPr>
        <w:pStyle w:val="Heading2"/>
      </w:pPr>
      <w:r>
        <w:t xml:space="preserve">3. The raw-material shock hasn't eased — it may have gotten worse</w:t>
      </w:r>
    </w:p>
    <w:p>
      <w:pPr>
        <w:pStyle w:val="FirstParagraph"/>
      </w:pPr>
      <w:r>
        <w:t xml:space="preserve">The root cause of Mosaic's margin pressure is the Strait of Hormuz disruption, which has choked off a huge share of global sulfur, ammonia, and phosphate rock flows (roughly a fifth of global phosphate, a quarter of ammonia, and half of seaborne sulfur normally originate in the Middle East). Instead of stabilizing since the May call, the situation escalated:</w:t>
      </w:r>
    </w:p>
    <w:p>
      <w:pPr>
        <w:pStyle w:val="Compact"/>
        <w:numPr>
          <w:ilvl w:val="0"/>
          <w:numId w:val="1002"/>
        </w:numPr>
      </w:pPr>
      <w:r>
        <w:t xml:space="preserve">On</w:t>
      </w:r>
      <w:r>
        <w:t xml:space="preserve"> </w:t>
      </w:r>
      <w:r>
        <w:rPr>
          <w:b/>
          <w:bCs/>
        </w:rPr>
        <w:t xml:space="preserve">July 8</w:t>
      </w:r>
      <w:r>
        <w:t xml:space="preserve">, Mosaic announced it would</w:t>
      </w:r>
      <w:r>
        <w:t xml:space="preserve"> </w:t>
      </w:r>
      <w:r>
        <w:rPr>
          <w:b/>
          <w:bCs/>
        </w:rPr>
        <w:t xml:space="preserve">further reduce output</w:t>
      </w:r>
      <w:r>
        <w:t xml:space="preserve"> </w:t>
      </w:r>
      <w:r>
        <w:t xml:space="preserve">at Bartow (FL) and Faustina (LA) — plants already running at reduced rates — and, for the first time, extended cuts to</w:t>
      </w:r>
      <w:r>
        <w:t xml:space="preserve"> </w:t>
      </w:r>
      <w:r>
        <w:rPr>
          <w:b/>
          <w:bCs/>
        </w:rPr>
        <w:t xml:space="preserve">Riverview (FL) and Uncle Sam (LA)</w:t>
      </w:r>
      <w:r>
        <w:t xml:space="preserve">, alongside deeper curtailments in Brazil. The company said it does not intend to purchase sulfur in Brazil in the near term.</w:t>
      </w:r>
    </w:p>
    <w:p>
      <w:pPr>
        <w:pStyle w:val="Compact"/>
        <w:numPr>
          <w:ilvl w:val="0"/>
          <w:numId w:val="1002"/>
        </w:numPr>
      </w:pPr>
      <w:r>
        <w:t xml:space="preserve">That announcement coincided with reports that the</w:t>
      </w:r>
      <w:r>
        <w:t xml:space="preserve"> </w:t>
      </w:r>
      <w:r>
        <w:rPr>
          <w:b/>
          <w:bCs/>
        </w:rPr>
        <w:t xml:space="preserve">U.S.-Iran interim arrangement had effectively collapsed</w:t>
      </w:r>
      <w:r>
        <w:t xml:space="preserve">, removing hope for a near-term reopening of shipping lanes.</w:t>
      </w:r>
    </w:p>
    <w:p>
      <w:pPr>
        <w:pStyle w:val="Compact"/>
        <w:numPr>
          <w:ilvl w:val="0"/>
          <w:numId w:val="1002"/>
        </w:numPr>
      </w:pPr>
      <w:r>
        <w:t xml:space="preserve">Multiple trade outlets (Argus, World Fertilizer) suggested customers now expect a full halt at Faustina, with Bartow's fate contingent on whether the sulfur outlook improves.</w:t>
      </w:r>
    </w:p>
    <w:p>
      <w:pPr>
        <w:pStyle w:val="FirstParagraph"/>
      </w:pPr>
      <w:r>
        <w:t xml:space="preserve">This matters directly for tomorrow's numbers: the</w:t>
      </w:r>
      <w:r>
        <w:t xml:space="preserve"> </w:t>
      </w:r>
      <w:r>
        <w:rPr>
          <w:b/>
          <w:bCs/>
        </w:rPr>
        <w:t xml:space="preserve">Q2 guidance issued in May (phosphate sales volumes of 1.4–1.7 million tonnes; DAP $760–780/tonne FOB plant)</w:t>
      </w:r>
      <w:r>
        <w:t xml:space="preserve"> </w:t>
      </w:r>
      <w:r>
        <w:t xml:space="preserve">was set before the July escalation, and investors should watch closely whether Q2 volumes came in at the low end — or below — that range, and whether</w:t>
      </w:r>
      <w:r>
        <w:t xml:space="preserve"> </w:t>
      </w:r>
      <w:r>
        <w:rPr>
          <w:b/>
          <w:bCs/>
        </w:rPr>
        <w:t xml:space="preserve">Q3 guidance implies materially lower production</w:t>
      </w:r>
      <w:r>
        <w:t xml:space="preserve"> </w:t>
      </w:r>
      <w:r>
        <w:t xml:space="preserve">than even the reduced Q2 run-rate. On the Q1 call, CFO Luciano Pires flagged that Q2 stripping margins would still exceed</w:t>
      </w:r>
      <w:r>
        <w:t xml:space="preserve"> </w:t>
      </w:r>
      <m:oMath>
        <m:r>
          <m:t>400</m:t>
        </m:r>
        <m:r>
          <m:rPr>
            <m:sty m:val="p"/>
          </m:rPr>
          <m:t>/</m:t>
        </m:r>
        <m:r>
          <m:t>t</m:t>
        </m:r>
        <m:r>
          <m:t>o</m:t>
        </m:r>
        <m:r>
          <m:t>n</m:t>
        </m:r>
        <m:r>
          <m:t>n</m:t>
        </m:r>
        <m:r>
          <m:t>e</m:t>
        </m:r>
        <m:r>
          <m:t>o</m:t>
        </m:r>
        <m:r>
          <m:t>n</m:t>
        </m:r>
        <m:r>
          <m:t> </m:t>
        </m:r>
        <m:r>
          <m:t>60</m:t>
        </m:r>
      </m:oMath>
      <w:r>
        <w:t xml:space="preserve">1,200/tonne) and ammonia (~$800/tonne) implied marginal stripping margins</w:t>
      </w:r>
      <w:r>
        <w:t xml:space="preserve"> </w:t>
      </w:r>
      <w:r>
        <w:rPr>
          <w:b/>
          <w:bCs/>
        </w:rPr>
        <w:t xml:space="preserve">below variable cost</w:t>
      </w:r>
      <w:r>
        <w:t xml:space="preserve"> </w:t>
      </w:r>
      <w:r>
        <w:t xml:space="preserve">— a dynamic that pushed Mosaic to keep curtailing rather than chase volume.</w:t>
      </w:r>
    </w:p>
    <w:p>
      <w:r>
        <w:pict>
          <v:rect style="width:0;height:1.5pt" o:hralign="center" o:hrstd="t" o:hr="t"/>
        </w:pict>
      </w:r>
    </w:p>
    <w:bookmarkEnd w:id="11"/>
    <w:bookmarkStart w:id="12" w:name="X2859766e65e4540b3b4668b1f80abe68b6d12c6"/>
    <w:p>
      <w:pPr>
        <w:pStyle w:val="Heading2"/>
      </w:pPr>
      <w:r>
        <w:t xml:space="preserve">4. Segment-by-segment what to watch</w:t>
      </w:r>
    </w:p>
    <w:p>
      <w:pPr>
        <w:pStyle w:val="FirstParagraph"/>
      </w:pPr>
      <w:r>
        <w:rPr>
          <w:b/>
          <w:bCs/>
        </w:rPr>
        <w:t xml:space="preserve">Phosphate:</w:t>
      </w:r>
      <w:r>
        <w:t xml:space="preserve"> </w:t>
      </w:r>
      <w:r>
        <w:t xml:space="preserve">Watch realized DAP pricing versus the $760–780/tonne guide, sulfur/ammonia costs consumed in COGS (Q1 came in at $379/sulfur ton, $626/ammonia tonne — both were guided materially higher for Q2, at roughly $540 and $610 respectively), and whether the New Wales ramp continued to support cash conversion costs trending toward the $105–110/tonne second-half target management outlined.</w:t>
      </w:r>
    </w:p>
    <w:p>
      <w:pPr>
        <w:pStyle w:val="BodyText"/>
      </w:pPr>
      <w:r>
        <w:rPr>
          <w:b/>
          <w:bCs/>
        </w:rPr>
        <w:t xml:space="preserve">Potash:</w:t>
      </w:r>
      <w:r>
        <w:t xml:space="preserve"> </w:t>
      </w:r>
      <w:r>
        <w:t xml:space="preserve">This has been the steady-Eddie segment — Q1 adjusted EBITDA of $275 million on</w:t>
      </w:r>
      <w:r>
        <w:t xml:space="preserve"> </w:t>
      </w:r>
      <m:oMath>
        <m:r>
          <m:t>265</m:t>
        </m:r>
        <m:r>
          <m:rPr>
            <m:sty m:val="p"/>
          </m:rPr>
          <m:t>/</m:t>
        </m:r>
        <m:r>
          <m:t>t</m:t>
        </m:r>
        <m:r>
          <m:t>o</m:t>
        </m:r>
        <m:r>
          <m:t>n</m:t>
        </m:r>
        <m:r>
          <m:t>n</m:t>
        </m:r>
        <m:r>
          <m:t>e</m:t>
        </m:r>
        <m:r>
          <m:t>r</m:t>
        </m:r>
        <m:r>
          <m:t>e</m:t>
        </m:r>
        <m:r>
          <m:t>a</m:t>
        </m:r>
        <m:r>
          <m:t>l</m:t>
        </m:r>
        <m:r>
          <m:t>i</m:t>
        </m:r>
        <m:r>
          <m:t>z</m:t>
        </m:r>
        <m:r>
          <m:t>e</m:t>
        </m:r>
        <m:r>
          <m:t>d</m:t>
        </m:r>
        <m:r>
          <m:t>M</m:t>
        </m:r>
        <m:r>
          <m:t>O</m:t>
        </m:r>
        <m:r>
          <m:t>P</m:t>
        </m:r>
        <m:r>
          <m:t>p</m:t>
        </m:r>
        <m:r>
          <m:t>r</m:t>
        </m:r>
        <m:r>
          <m:t>i</m:t>
        </m:r>
        <m:r>
          <m:t>c</m:t>
        </m:r>
        <m:r>
          <m:t>e</m:t>
        </m:r>
        <m:r>
          <m:t>s</m:t>
        </m:r>
        <m:r>
          <m:rPr>
            <m:sty m:val="p"/>
          </m:rPr>
          <m:t>,</m:t>
        </m:r>
        <m:r>
          <m:t>w</m:t>
        </m:r>
        <m:r>
          <m:t>i</m:t>
        </m:r>
        <m:r>
          <m:t>t</m:t>
        </m:r>
        <m:r>
          <m:t>h</m:t>
        </m:r>
        <m:r>
          <m:t>m</m:t>
        </m:r>
        <m:r>
          <m:t>a</m:t>
        </m:r>
        <m:r>
          <m:t>n</m:t>
        </m:r>
        <m:r>
          <m:t>a</m:t>
        </m:r>
        <m:r>
          <m:t>g</m:t>
        </m:r>
        <m:r>
          <m:t>e</m:t>
        </m:r>
        <m:r>
          <m:t>m</m:t>
        </m:r>
        <m:r>
          <m:t>e</m:t>
        </m:r>
        <m:r>
          <m:t>n</m:t>
        </m:r>
        <m:r>
          <m:t>t</m:t>
        </m:r>
        <m:r>
          <m:t>n</m:t>
        </m:r>
        <m:r>
          <m:t>o</m:t>
        </m:r>
        <m:r>
          <m:t>t</m:t>
        </m:r>
        <m:r>
          <m:t>i</m:t>
        </m:r>
        <m:r>
          <m:t>n</m:t>
        </m:r>
        <m:r>
          <m:t>g</m:t>
        </m:r>
        <m:r>
          <m:t>C</m:t>
        </m:r>
        <m:r>
          <m:t>a</m:t>
        </m:r>
        <m:r>
          <m:t>n</m:t>
        </m:r>
        <m:r>
          <m:t>p</m:t>
        </m:r>
        <m:r>
          <m:t>o</m:t>
        </m:r>
        <m:r>
          <m:t>t</m:t>
        </m:r>
        <m:r>
          <m:t>e</m:t>
        </m:r>
        <m:r>
          <m:t>x</m:t>
        </m:r>
        <m:r>
          <m:t>w</m:t>
        </m:r>
        <m:r>
          <m:t>a</m:t>
        </m:r>
        <m:r>
          <m:t>s</m:t>
        </m:r>
        <m:r>
          <m:rPr>
            <m:sty m:val="p"/>
          </m:rPr>
          <m:t>*</m:t>
        </m:r>
        <m:r>
          <m:rPr>
            <m:sty m:val="p"/>
          </m:rPr>
          <m:t>*</m:t>
        </m:r>
        <m:r>
          <m:t>f</m:t>
        </m:r>
        <m:r>
          <m:t>u</m:t>
        </m:r>
        <m:r>
          <m:t>l</m:t>
        </m:r>
        <m:r>
          <m:t>l</m:t>
        </m:r>
        <m:r>
          <m:t>y</m:t>
        </m:r>
        <m:r>
          <m:t>c</m:t>
        </m:r>
        <m:r>
          <m:t>o</m:t>
        </m:r>
        <m:r>
          <m:t>m</m:t>
        </m:r>
        <m:r>
          <m:t>m</m:t>
        </m:r>
        <m:r>
          <m:t>i</m:t>
        </m:r>
        <m:r>
          <m:t>t</m:t>
        </m:r>
        <m:r>
          <m:t>t</m:t>
        </m:r>
        <m:r>
          <m:t>e</m:t>
        </m:r>
        <m:r>
          <m:t>d</m:t>
        </m:r>
        <m:r>
          <m:t>t</m:t>
        </m:r>
        <m:r>
          <m:t>h</m:t>
        </m:r>
        <m:r>
          <m:t>r</m:t>
        </m:r>
        <m:r>
          <m:t>o</m:t>
        </m:r>
        <m:r>
          <m:t>u</m:t>
        </m:r>
        <m:r>
          <m:t>g</m:t>
        </m:r>
        <m:r>
          <m:t>h</m:t>
        </m:r>
        <m:r>
          <m:t>J</m:t>
        </m:r>
        <m:r>
          <m:t>u</m:t>
        </m:r>
        <m:r>
          <m:t>n</m:t>
        </m:r>
        <m:r>
          <m:t>e</m:t>
        </m:r>
        <m:r>
          <m:t>a</m:t>
        </m:r>
        <m:r>
          <m:t>n</m:t>
        </m:r>
        <m:r>
          <m:t>d</m:t>
        </m:r>
        <m:r>
          <m:t>p</m:t>
        </m:r>
        <m:r>
          <m:t>a</m:t>
        </m:r>
        <m:r>
          <m:t>c</m:t>
        </m:r>
        <m:r>
          <m:t>i</m:t>
        </m:r>
        <m:r>
          <m:t>n</m:t>
        </m:r>
        <m:r>
          <m:t>g</m:t>
        </m:r>
        <m:r>
          <m:t>f</m:t>
        </m:r>
        <m:r>
          <m:t>o</m:t>
        </m:r>
        <m:r>
          <m:t>r</m:t>
        </m:r>
        <m:r>
          <m:t>a</m:t>
        </m:r>
        <m:r>
          <m:t>r</m:t>
        </m:r>
        <m:r>
          <m:t>e</m:t>
        </m:r>
        <m:r>
          <m:t>c</m:t>
        </m:r>
        <m:r>
          <m:t>o</m:t>
        </m:r>
        <m:r>
          <m:t>r</m:t>
        </m:r>
        <m:r>
          <m:t>d</m:t>
        </m:r>
        <m:r>
          <m:t>2026</m:t>
        </m:r>
        <m:r>
          <m:rPr>
            <m:sty m:val="p"/>
          </m:rPr>
          <m:t>*</m:t>
        </m:r>
        <m:r>
          <m:rPr>
            <m:sty m:val="p"/>
          </m:rPr>
          <m:t>*</m:t>
        </m:r>
        <m:r>
          <m:rPr>
            <m:sty m:val="p"/>
          </m:rPr>
          <m:t>.</m:t>
        </m:r>
        <m:r>
          <m:t>W</m:t>
        </m:r>
        <m:r>
          <m:t>a</m:t>
        </m:r>
        <m:r>
          <m:t>t</m:t>
        </m:r>
        <m:r>
          <m:t>c</m:t>
        </m:r>
        <m:r>
          <m:t>h</m:t>
        </m:r>
        <m:r>
          <m:t>w</m:t>
        </m:r>
        <m:r>
          <m:t>h</m:t>
        </m:r>
        <m:r>
          <m:t>e</m:t>
        </m:r>
        <m:r>
          <m:t>t</m:t>
        </m:r>
        <m:r>
          <m:t>h</m:t>
        </m:r>
        <m:r>
          <m:t>e</m:t>
        </m:r>
        <m:r>
          <m:t>r</m:t>
        </m:r>
        <m:r>
          <m:t>Q</m:t>
        </m:r>
        <m:r>
          <m:t>2</m:t>
        </m:r>
        <m:r>
          <m:t>v</m:t>
        </m:r>
        <m:r>
          <m:t>o</m:t>
        </m:r>
        <m:r>
          <m:t>l</m:t>
        </m:r>
        <m:r>
          <m:t>u</m:t>
        </m:r>
        <m:r>
          <m:t>m</m:t>
        </m:r>
        <m:r>
          <m:t>e</m:t>
        </m:r>
        <m:r>
          <m:t>s</m:t>
        </m:r>
        <m:r>
          <m:rPr>
            <m:sty m:val="p"/>
          </m:rPr>
          <m:t>(</m:t>
        </m:r>
        <m:r>
          <m:t>g</m:t>
        </m:r>
        <m:r>
          <m:t>u</m:t>
        </m:r>
        <m:r>
          <m:t>i</m:t>
        </m:r>
        <m:r>
          <m:t>d</m:t>
        </m:r>
        <m:r>
          <m:t>e</m:t>
        </m:r>
        <m:r>
          <m:t>d</m:t>
        </m:r>
        <m:r>
          <m:t>1.9</m:t>
        </m:r>
        <m:r>
          <m:rPr>
            <m:sty m:val="p"/>
          </m:rPr>
          <m:t>–</m:t>
        </m:r>
        <m:r>
          <m:t>2.1</m:t>
        </m:r>
        <m:r>
          <m:t>m</m:t>
        </m:r>
        <m:r>
          <m:t>i</m:t>
        </m:r>
        <m:r>
          <m:t>l</m:t>
        </m:r>
        <m:r>
          <m:t>l</m:t>
        </m:r>
        <m:r>
          <m:t>i</m:t>
        </m:r>
        <m:r>
          <m:t>o</m:t>
        </m:r>
        <m:r>
          <m:t>n</m:t>
        </m:r>
        <m:r>
          <m:t>t</m:t>
        </m:r>
        <m:r>
          <m:t>o</m:t>
        </m:r>
        <m:r>
          <m:t>n</m:t>
        </m:r>
        <m:r>
          <m:t>n</m:t>
        </m:r>
        <m:r>
          <m:t>e</m:t>
        </m:r>
        <m:r>
          <m:t>s</m:t>
        </m:r>
        <m:r>
          <m:rPr>
            <m:sty m:val="p"/>
          </m:rPr>
          <m:t>)</m:t>
        </m:r>
        <m:r>
          <m:t>a</m:t>
        </m:r>
        <m:r>
          <m:t>n</m:t>
        </m:r>
        <m:r>
          <m:t>d</m:t>
        </m:r>
        <m:r>
          <m:t>p</m:t>
        </m:r>
        <m:r>
          <m:t>r</m:t>
        </m:r>
        <m:r>
          <m:t>i</m:t>
        </m:r>
        <m:r>
          <m:t>c</m:t>
        </m:r>
        <m:r>
          <m:t>i</m:t>
        </m:r>
        <m:r>
          <m:t>n</m:t>
        </m:r>
        <m:r>
          <m:t>g</m:t>
        </m:r>
        <m:r>
          <m:rPr>
            <m:sty m:val="p"/>
          </m:rPr>
          <m:t>(</m:t>
        </m:r>
      </m:oMath>
      <w:r>
        <w:t xml:space="preserve">260–280/tonne) held up, and whether North American spring demand and Asian (China, Southeast Asia) restocking kept the segment resilient even as farm economics tightened elsewhere.</w:t>
      </w:r>
    </w:p>
    <w:p>
      <w:pPr>
        <w:pStyle w:val="BodyText"/>
      </w:pPr>
      <w:r>
        <w:rPr>
          <w:b/>
          <w:bCs/>
        </w:rPr>
        <w:t xml:space="preserve">Mosaic Fertilizantes (Brazil):</w:t>
      </w:r>
      <w:r>
        <w:t xml:space="preserve"> </w:t>
      </w:r>
      <w:r>
        <w:t xml:space="preserve">Guidance was pulled entirely for this segment given nutrient-availability and credit uncertainty. Brazil must import roughly 85% of its NPK needs, and management flagged a likely</w:t>
      </w:r>
      <w:r>
        <w:t xml:space="preserve"> </w:t>
      </w:r>
      <w:r>
        <w:rPr>
          <w:b/>
          <w:bCs/>
        </w:rPr>
        <w:t xml:space="preserve">contraction in 2026 fertilizer volumes</w:t>
      </w:r>
      <w:r>
        <w:t xml:space="preserve"> </w:t>
      </w:r>
      <w:r>
        <w:t xml:space="preserve">there due to raw-material scarcity, not demand. Distribution margins had been a bright spot (improving sequentially even as volumes fell), which is worth tracking again.</w:t>
      </w:r>
    </w:p>
    <w:p>
      <w:pPr>
        <w:pStyle w:val="BodyText"/>
      </w:pPr>
      <w:r>
        <w:rPr>
          <w:b/>
          <w:bCs/>
        </w:rPr>
        <w:t xml:space="preserve">Mosaic Biosciences / rare earths:</w:t>
      </w:r>
      <w:r>
        <w:t xml:space="preserve"> </w:t>
      </w:r>
      <w:r>
        <w:t xml:space="preserve">A smaller, longer-duration story — management guided to 8–10 new product launches in 2026 and a doubling of Biosciences revenue (off a $68M 2025 base), plus early-stage rare-earth-from-phosphogypsum work with Rainbow Rare Earths in Brazil. Not a near-term earnings driver, but a narrative management likes to lean on amid the phosphate turmoil.</w:t>
      </w:r>
    </w:p>
    <w:p>
      <w:r>
        <w:pict>
          <v:rect style="width:0;height:1.5pt" o:hralign="center" o:hrstd="t" o:hr="t"/>
        </w:pict>
      </w:r>
    </w:p>
    <w:bookmarkEnd w:id="12"/>
    <w:bookmarkStart w:id="13" w:name="X8356cb6433a4d87d3f36d25a5c63de389f233b8"/>
    <w:p>
      <w:pPr>
        <w:pStyle w:val="Heading2"/>
      </w:pPr>
      <w:r>
        <w:t xml:space="preserve">5. Balance sheet and capital allocation</w:t>
      </w:r>
    </w:p>
    <w:p>
      <w:pPr>
        <w:pStyle w:val="FirstParagraph"/>
      </w:pPr>
      <w:r>
        <w:t xml:space="preserve">Mosaic's free cash flow was **negative</w:t>
      </w:r>
      <w:r>
        <w:t xml:space="preserve"> </w:t>
      </w:r>
      <m:oMath>
        <m:r>
          <m:t>253</m:t>
        </m:r>
        <m:r>
          <m:t>m</m:t>
        </m:r>
        <m:r>
          <m:t>i</m:t>
        </m:r>
        <m:r>
          <m:t>l</m:t>
        </m:r>
        <m:r>
          <m:t>l</m:t>
        </m:r>
        <m:r>
          <m:t>i</m:t>
        </m:r>
        <m:r>
          <m:t>o</m:t>
        </m:r>
        <m:r>
          <m:t>n</m:t>
        </m:r>
        <m:r>
          <m:t>i</m:t>
        </m:r>
        <m:r>
          <m:t>n</m:t>
        </m:r>
        <m:r>
          <m:t>Q</m:t>
        </m:r>
        <m:r>
          <m:t>1</m:t>
        </m:r>
        <m:r>
          <m:rPr>
            <m:sty m:val="p"/>
          </m:rPr>
          <m:t>*</m:t>
        </m:r>
        <m:r>
          <m:rPr>
            <m:sty m:val="p"/>
          </m:rPr>
          <m:t>*</m:t>
        </m:r>
        <m:r>
          <m:rPr>
            <m:sty m:val="p"/>
          </m:rPr>
          <m:t>(</m:t>
        </m:r>
        <m:r>
          <m:t>a</m:t>
        </m:r>
        <m:r>
          <m:t>n</m:t>
        </m:r>
        <m:r>
          <m:t>i</m:t>
        </m:r>
        <m:r>
          <m:t>m</m:t>
        </m:r>
        <m:r>
          <m:t>p</m:t>
        </m:r>
        <m:r>
          <m:t>r</m:t>
        </m:r>
        <m:r>
          <m:t>o</m:t>
        </m:r>
        <m:r>
          <m:t>v</m:t>
        </m:r>
        <m:r>
          <m:t>e</m:t>
        </m:r>
        <m:r>
          <m:t>m</m:t>
        </m:r>
        <m:r>
          <m:t>e</m:t>
        </m:r>
        <m:r>
          <m:t>n</m:t>
        </m:r>
        <m:r>
          <m:t>t</m:t>
        </m:r>
        <m:r>
          <m:t>f</m:t>
        </m:r>
        <m:r>
          <m:t>r</m:t>
        </m:r>
        <m:r>
          <m:t>o</m:t>
        </m:r>
        <m:r>
          <m:t>m</m:t>
        </m:r>
        <m:r>
          <m:rPr>
            <m:sty m:val="p"/>
          </m:rPr>
          <m:t>−</m:t>
        </m:r>
      </m:oMath>
      <w:r>
        <w:t xml:space="preserve">298M a year ago but still a use of cash), and the company drew on a</w:t>
      </w:r>
      <w:r>
        <w:t xml:space="preserve"> </w:t>
      </w:r>
      <w:r>
        <w:rPr>
          <w:b/>
          <w:bCs/>
        </w:rPr>
        <w:t xml:space="preserve">new $1 billion delayed-draw credit facility signed in June 2026</w:t>
      </w:r>
      <w:r>
        <w:t xml:space="preserve"> </w:t>
      </w:r>
      <w:r>
        <w:t xml:space="preserve">(split into a 364-day and a three-year tranche) explicitly to refinance existing debt — a signal that liquidity management has become more active as working capital absorbs higher raw-material costs. As of Q1-end, Mosaic carried $281.8 million of cash against $1.2 billion of short-term debt and $4.3 billion of long-term debt, with management targeting a liquidity buffer of up to $3.0 billion and continued investment-grade metrics.</w:t>
      </w:r>
    </w:p>
    <w:p>
      <w:pPr>
        <w:pStyle w:val="BodyText"/>
      </w:pPr>
      <w:r>
        <w:t xml:space="preserve">Management had guided to a</w:t>
      </w:r>
      <w:r>
        <w:t xml:space="preserve"> </w:t>
      </w:r>
      <w:r>
        <w:rPr>
          <w:b/>
          <w:bCs/>
        </w:rPr>
        <w:t xml:space="preserve">$300–500 million full-year working-capital release</w:t>
      </w:r>
      <w:r>
        <w:t xml:space="preserve">, though it acknowledged two offsetting forces: rising sulfur/ammonia costs inflating inventory values (a headwind) versus curtailment-driven inventory drawdowns (a tailwind). Watch for an update on this range and on the</w:t>
      </w:r>
      <w:r>
        <w:t xml:space="preserve"> </w:t>
      </w:r>
      <w:r>
        <w:rPr>
          <w:b/>
          <w:bCs/>
        </w:rPr>
        <w:t xml:space="preserve">2026 CapEx guide of $1.25 billion</w:t>
      </w:r>
      <w:r>
        <w:t xml:space="preserve"> </w:t>
      </w:r>
      <w:r>
        <w:t xml:space="preserve">(already cut $250M from the original plan) and the</w:t>
      </w:r>
      <w:r>
        <w:t xml:space="preserve"> </w:t>
      </w:r>
      <w:r>
        <w:rPr>
          <w:b/>
          <w:bCs/>
        </w:rPr>
        <w:t xml:space="preserve">cost-savings program</w:t>
      </w:r>
      <w:r>
        <w:t xml:space="preserve"> </w:t>
      </w:r>
      <w:r>
        <w:t xml:space="preserve">(now targeting $150M annualized combined across two initiatives).</w:t>
      </w:r>
    </w:p>
    <w:p>
      <w:pPr>
        <w:pStyle w:val="BodyText"/>
      </w:pPr>
      <w:r>
        <w:t xml:space="preserve">The company continued its</w:t>
      </w:r>
      <w:r>
        <w:t xml:space="preserve"> </w:t>
      </w:r>
      <w:r>
        <w:rPr>
          <w:b/>
          <w:bCs/>
        </w:rPr>
        <w:t xml:space="preserve">$0.22/share quarterly dividend</w:t>
      </w:r>
      <w:r>
        <w:t xml:space="preserve"> </w:t>
      </w:r>
      <w:r>
        <w:t xml:space="preserve">in Q1; capital-return commentary (dividend sustainability, buybacks) will be worth listening for given the cash burn.</w:t>
      </w:r>
    </w:p>
    <w:p>
      <w:r>
        <w:pict>
          <v:rect style="width:0;height:1.5pt" o:hralign="center" o:hrstd="t" o:hr="t"/>
        </w:pict>
      </w:r>
    </w:p>
    <w:bookmarkEnd w:id="13"/>
    <w:bookmarkStart w:id="14" w:name="X8eb5070617f68a655355ba2765304e25dfa0300"/>
    <w:p>
      <w:pPr>
        <w:pStyle w:val="Heading2"/>
      </w:pPr>
      <w:r>
        <w:t xml:space="preserve">6. What Wall Street expects and how sentiment has shifted</w:t>
      </w:r>
    </w:p>
    <w:p>
      <w:pPr>
        <w:pStyle w:val="FirstParagraph"/>
      </w:pPr>
      <w:r>
        <w:t xml:space="preserve">Consensus has been cut repeatedly heading into the print — analysts moved Q2 EPS estimates down to roughly</w:t>
      </w:r>
      <w:r>
        <w:t xml:space="preserve"> </w:t>
      </w:r>
      <m:oMath>
        <m:r>
          <m:t>0.08</m:t>
        </m:r>
        <m:r>
          <m:rPr>
            <m:sty m:val="p"/>
          </m:rPr>
          <m:t>–</m:t>
        </m:r>
      </m:oMath>
      <w:r>
        <w:rPr>
          <w:b/>
          <w:bCs/>
        </w:rPr>
        <w:t xml:space="preserve">0.11</w:t>
      </w:r>
      <w:r>
        <w:t xml:space="preserve"> </w:t>
      </w:r>
      <w:r>
        <w:t xml:space="preserve">(from</w:t>
      </w:r>
      <w:r>
        <w:t xml:space="preserve"> </w:t>
      </w:r>
      <m:oMath>
        <m:r>
          <m:t>0.51</m:t>
        </m:r>
        <m:r>
          <m:t>a</m:t>
        </m:r>
        <m:r>
          <m:t>y</m:t>
        </m:r>
        <m:r>
          <m:t>e</m:t>
        </m:r>
        <m:r>
          <m:t>a</m:t>
        </m:r>
        <m:r>
          <m:t>r</m:t>
        </m:r>
        <m:r>
          <m:t>a</m:t>
        </m:r>
        <m:r>
          <m:t>g</m:t>
        </m:r>
        <m:r>
          <m:t>o</m:t>
        </m:r>
        <m:r>
          <m:rPr>
            <m:sty m:val="p"/>
          </m:rPr>
          <m:t>)</m:t>
        </m:r>
        <m:r>
          <m:rPr>
            <m:sty m:val="p"/>
          </m:rPr>
          <m:t>,</m:t>
        </m:r>
        <m:r>
          <m:t>a</m:t>
        </m:r>
        <m:r>
          <m:t>n</m:t>
        </m:r>
        <m:r>
          <m:t>d</m:t>
        </m:r>
        <m:r>
          <m:t>f</m:t>
        </m:r>
        <m:r>
          <m:t>u</m:t>
        </m:r>
        <m:r>
          <m:t>l</m:t>
        </m:r>
        <m:r>
          <m:t>l</m:t>
        </m:r>
        <m:r>
          <m:rPr>
            <m:sty m:val="p"/>
          </m:rPr>
          <m:t>−</m:t>
        </m:r>
        <m:r>
          <m:t>y</m:t>
        </m:r>
        <m:r>
          <m:t>e</m:t>
        </m:r>
        <m:r>
          <m:t>a</m:t>
        </m:r>
        <m:r>
          <m:t>r</m:t>
        </m:r>
        <m:r>
          <m:t>2026</m:t>
        </m:r>
        <m:r>
          <m:t>E</m:t>
        </m:r>
        <m:r>
          <m:t>P</m:t>
        </m:r>
        <m:r>
          <m:t>S</m:t>
        </m:r>
        <m:r>
          <m:t>e</m:t>
        </m:r>
        <m:r>
          <m:t>s</m:t>
        </m:r>
        <m:r>
          <m:t>t</m:t>
        </m:r>
        <m:r>
          <m:t>i</m:t>
        </m:r>
        <m:r>
          <m:t>m</m:t>
        </m:r>
        <m:r>
          <m:t>a</m:t>
        </m:r>
        <m:r>
          <m:t>t</m:t>
        </m:r>
        <m:r>
          <m:t>e</m:t>
        </m:r>
        <m:r>
          <m:t>s</m:t>
        </m:r>
        <m:r>
          <m:t>n</m:t>
        </m:r>
        <m:r>
          <m:t>e</m:t>
        </m:r>
        <m:r>
          <m:t>a</m:t>
        </m:r>
        <m:r>
          <m:t>r</m:t>
        </m:r>
        <m:r>
          <m:rPr>
            <m:sty m:val="p"/>
          </m:rPr>
          <m:t>*</m:t>
        </m:r>
        <m:r>
          <m:rPr>
            <m:sty m:val="p"/>
          </m:rPr>
          <m:t>*</m:t>
        </m:r>
      </m:oMath>
      <w:r>
        <w:t xml:space="preserve">0.81–$0.83**, versus $2.27 in fiscal 2025, before an expected rebound to around $1.83 in 2027. Mosaic has</w:t>
      </w:r>
      <w:r>
        <w:t xml:space="preserve"> </w:t>
      </w:r>
      <w:r>
        <w:rPr>
          <w:b/>
          <w:bCs/>
        </w:rPr>
        <w:t xml:space="preserve">missed Wall Street's EPS estimate in three of its last four quarters</w:t>
      </w:r>
      <w:r>
        <w:t xml:space="preserve">. Sell-side price targets have also come down through Q2/Q3: Morgan Stanley cut its target from $28 to $26, Mizuho from $27 to $24, and UBS from $27 to $23, with the group generally holding a cautious</w:t>
      </w:r>
      <w:r>
        <w:t xml:space="preserve"> </w:t>
      </w:r>
      <w:r>
        <w:rPr>
          <w:b/>
          <w:bCs/>
        </w:rPr>
        <w:t xml:space="preserve">"Hold"</w:t>
      </w:r>
      <w:r>
        <w:t xml:space="preserve">-type stance rather than turning outright bearish — reflecting a view that the sulfur shock is a real but temporary margin problem rather than a structural demand issue.</w:t>
      </w:r>
    </w:p>
    <w:p>
      <w:r>
        <w:pict>
          <v:rect style="width:0;height:1.5pt" o:hralign="center" o:hrstd="t" o:hr="t"/>
        </w:pict>
      </w:r>
    </w:p>
    <w:bookmarkEnd w:id="14"/>
    <w:bookmarkStart w:id="15" w:name="X0998557fbb4eadba825fc4998414d4abc9f441d"/>
    <w:p>
      <w:pPr>
        <w:pStyle w:val="Heading2"/>
      </w:pPr>
      <w:r>
        <w:t xml:space="preserve">7. Key questions for the call</w:t>
      </w:r>
    </w:p>
    <w:p>
      <w:pPr>
        <w:pStyle w:val="Compact"/>
        <w:numPr>
          <w:ilvl w:val="0"/>
          <w:numId w:val="1003"/>
        </w:numPr>
      </w:pPr>
      <w:r>
        <w:rPr>
          <w:b/>
          <w:bCs/>
        </w:rPr>
        <w:t xml:space="preserve">How much further did production fall in Q2, and where does Q3 guidance land?</w:t>
      </w:r>
      <w:r>
        <w:t xml:space="preserve"> </w:t>
      </w:r>
      <w:r>
        <w:t xml:space="preserve">Given the July 8 escalation, does management now guide phosphate volumes below the 1.4–1.7 million tonne Q2 range for Q3?</w:t>
      </w:r>
    </w:p>
    <w:p>
      <w:pPr>
        <w:pStyle w:val="Compact"/>
        <w:numPr>
          <w:ilvl w:val="0"/>
          <w:numId w:val="1003"/>
        </w:numPr>
      </w:pPr>
      <w:r>
        <w:rPr>
          <w:b/>
          <w:bCs/>
        </w:rPr>
        <w:t xml:space="preserve">What's the marginal-vs.-average cost gap doing to Q3/Q4 stripping margins</w:t>
      </w:r>
      <w:r>
        <w:t xml:space="preserve">, now that spot sulfur has reportedly touched fresh records?</w:t>
      </w:r>
    </w:p>
    <w:p>
      <w:pPr>
        <w:pStyle w:val="Compact"/>
        <w:numPr>
          <w:ilvl w:val="0"/>
          <w:numId w:val="1003"/>
        </w:numPr>
      </w:pPr>
      <w:r>
        <w:rPr>
          <w:b/>
          <w:bCs/>
        </w:rPr>
        <w:t xml:space="preserve">Brazil trajectory</w:t>
      </w:r>
      <w:r>
        <w:t xml:space="preserve"> </w:t>
      </w:r>
      <w:r>
        <w:t xml:space="preserve">— any further idling beyond Araxá/Patrocínio/Fospar, and how is the credit environment for distribution customers evolving?</w:t>
      </w:r>
    </w:p>
    <w:p>
      <w:pPr>
        <w:pStyle w:val="Compact"/>
        <w:numPr>
          <w:ilvl w:val="0"/>
          <w:numId w:val="1003"/>
        </w:numPr>
      </w:pPr>
      <w:r>
        <w:rPr>
          <w:b/>
          <w:bCs/>
        </w:rPr>
        <w:t xml:space="preserve">Potash durability</w:t>
      </w:r>
      <w:r>
        <w:t xml:space="preserve"> </w:t>
      </w:r>
      <w:r>
        <w:t xml:space="preserve">— does the Canpotex "sold out" narrative and record-pace 2026 hold up, and does pricing keep grinding higher into H2?</w:t>
      </w:r>
    </w:p>
    <w:p>
      <w:pPr>
        <w:pStyle w:val="Compact"/>
        <w:numPr>
          <w:ilvl w:val="0"/>
          <w:numId w:val="1003"/>
        </w:numPr>
      </w:pPr>
      <w:r>
        <w:rPr>
          <w:b/>
          <w:bCs/>
        </w:rPr>
        <w:t xml:space="preserve">Cash flow and balance sheet</w:t>
      </w:r>
      <w:r>
        <w:t xml:space="preserve"> </w:t>
      </w:r>
      <w:r>
        <w:t xml:space="preserve">— does the $300–500M working-capital release guide still hold, and how is the new $1B credit facility being deployed?</w:t>
      </w:r>
    </w:p>
    <w:p>
      <w:pPr>
        <w:pStyle w:val="Compact"/>
        <w:numPr>
          <w:ilvl w:val="0"/>
          <w:numId w:val="1003"/>
        </w:numPr>
      </w:pPr>
      <w:r>
        <w:rPr>
          <w:b/>
          <w:bCs/>
        </w:rPr>
        <w:t xml:space="preserve">Any signs of de-escalation</w:t>
      </w:r>
      <w:r>
        <w:t xml:space="preserve"> </w:t>
      </w:r>
      <w:r>
        <w:t xml:space="preserve">in the Strait of Hormuz situation that could allow curtailed capacity (Faustina, Bartow, Riverview, Uncle Sam) to restart quickly, as management has repeatedly emphasized optionality to "unwind" curtailments fast.</w:t>
      </w:r>
    </w:p>
    <w:p>
      <w:r>
        <w:pict>
          <v:rect style="width:0;height:1.5pt" o:hralign="center" o:hrstd="t" o:hr="t"/>
        </w:pict>
      </w:r>
    </w:p>
    <w:bookmarkEnd w:id="15"/>
    <w:bookmarkStart w:id="16" w:name="X59a56c4de27670f2623d3582f339eb306b624b0"/>
    <w:p>
      <w:pPr>
        <w:pStyle w:val="Heading2"/>
      </w:pPr>
      <w:r>
        <w:t xml:space="preserve">8. Bottom line</w:t>
      </w:r>
    </w:p>
    <w:p>
      <w:pPr>
        <w:pStyle w:val="FirstParagraph"/>
      </w:pPr>
      <w:r>
        <w:t xml:space="preserve">This is a print where the headline EPS number matters less than the</w:t>
      </w:r>
      <w:r>
        <w:t xml:space="preserve"> </w:t>
      </w:r>
      <w:r>
        <w:rPr>
          <w:b/>
          <w:bCs/>
        </w:rPr>
        <w:t xml:space="preserve">production and cost trajectory commentary</w:t>
      </w:r>
      <w:r>
        <w:t xml:space="preserve">. The setup is bearish on the surface — deep estimate cuts, a stock down roughly 15-20% from April highs, multiple target-price reductions, and a raw-material crisis that visibly worsened between the May and August prints. But the bull case management has consistently pushed — tight underlying phosphate/potash fundamentals, advantaged U.S. ammonia/sulfur sourcing relative to peers, and pent-up "under-application" demand that should eventually support prices once the Strait of Hormuz situation normalizes — remains intact conceptually, even if the timing keeps slipping. Investors should focus on whether guidance for the second half suggests the trough is near, or whether further curtailments and cash burn are still ahead.</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2026-08-04T02:08:45Z</dcterms:created>
  <dcterms:modified xsi:type="dcterms:W3CDTF">2026-08-04T02:08:45Z</dcterms:modified>
</cp:coreProperties>
</file>

<file path=docProps/custom.xml><?xml version="1.0" encoding="utf-8"?>
<Properties xmlns="http://schemas.openxmlformats.org/officeDocument/2006/custom-properties" xmlns:vt="http://schemas.openxmlformats.org/officeDocument/2006/docPropsVTypes"/>
</file>