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s-earnings-predictions--2026-08-04"/>
    <w:p>
      <w:pPr>
        <w:pStyle w:val="Heading1"/>
      </w:pPr>
      <w:r>
        <w:t xml:space="preserve">MOS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~$0.10 vs. cons $0.15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~$3.08B vs. cons $3.13B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~$425M vs. cons $455M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Phosphate sales volume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~1.30M tonnes vs. cons 1.55M tonnes (Q3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DAP realized price, FOB plant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~$820/tonne vs. cons $800/tonne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Phosphate stripping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~$300/tonne vs. cons $375/tonne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Potash production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~9.0M tonnes vs. cons 9.0M tonnes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-7.4% (FOLLOW-THROUGH)</w:t>
            </w:r>
          </w:p>
        </w:tc>
        <w:tc>
          <w:tcPr/>
          <w:p>
            <w:pPr>
              <w:pStyle w:val="Compact"/>
            </w:pPr>
            <w:r>
              <w:t xml:space="preserve">Q3 phosphate volume guide of ~1.30M tonnes vs. cons 1.55M and stripping margin of ~$300/tonne vs. cons $375 imply estimate cuts that outweigh a potential Q2 pricing benefit.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2026-08-04T02:04:11Z</dcterms:created>
  <dcterms:modified xsi:type="dcterms:W3CDTF">2026-08-04T02:04:11Z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