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os-earnings-predictions--2026-08-04"/>
    <w:p>
      <w:pPr>
        <w:pStyle w:val="Heading1"/>
      </w:pPr>
      <w:r>
        <w:t xml:space="preserve">MOS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~$0.34 vs. cons $0.42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Phosphate adjusted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~$145m vs. cons $175m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Potash 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~$285m vs. cons $265m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Phosphate sales volumes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~3.0m tonnes vs. cons 3.4m tonnes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Potash production volumes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~9.0m tonnes vs. cons 9.0m tonnes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 expenditures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~$1.25bn vs. cons $1.25bn (FY26)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-8.5% (FOLLOW-THROUGH)</w:t>
            </w:r>
          </w:p>
        </w:tc>
        <w:tc>
          <w:tcPr/>
          <w:p>
            <w:pPr>
              <w:pStyle w:val="Compact"/>
            </w:pPr>
            <w:r>
              <w:t xml:space="preserve">Phosphate EBITDA and EPS miss are compounded by an implied ~0.4m-tonne 2H26 phosphate-volume cut versus consensus, pulling down out-period EBITDA and EPS estimates despite resilient potash execution.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2026-08-04T02:02:32Z</dcterms:created>
  <dcterms:modified xsi:type="dcterms:W3CDTF">2026-08-04T02:02:32Z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