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mosaic-nyse-mos--2q26-earnings-preview"/>
    <w:p>
      <w:pPr>
        <w:pStyle w:val="Heading1"/>
      </w:pPr>
      <w:r>
        <w:t xml:space="preserve">Mosaic (NYSE: MOS) — 2Q26 Earnings Preview</w:t>
      </w:r>
    </w:p>
    <w:p>
      <w:pPr>
        <w:pStyle w:val="BlockText"/>
      </w:pPr>
      <w:r>
        <w:rPr>
          <w:b/>
          <w:bCs/>
        </w:rPr>
        <w:t xml:space="preserve">Timing note:</w:t>
      </w:r>
      <w:r>
        <w:t xml:space="preserve"> </w:t>
      </w:r>
      <w:r>
        <w:t xml:space="preserve">The event date provided is</w:t>
      </w:r>
      <w:r>
        <w:t xml:space="preserve"> </w:t>
      </w:r>
      <w:r>
        <w:rPr>
          <w:b/>
          <w:bCs/>
        </w:rPr>
        <w:t xml:space="preserve">Tuesday, August 4, 2026</w:t>
      </w:r>
      <w:r>
        <w:t xml:space="preserve">—which is</w:t>
      </w:r>
      <w:r>
        <w:t xml:space="preserve"> </w:t>
      </w:r>
      <w:r>
        <w:rPr>
          <w:b/>
          <w:bCs/>
        </w:rPr>
        <w:t xml:space="preserve">today</w:t>
      </w:r>
      <w:r>
        <w:t xml:space="preserve">, not tomorrow. This preview therefore reflects information available through the</w:t>
      </w:r>
      <w:r>
        <w:t xml:space="preserve"> </w:t>
      </w:r>
      <w:r>
        <w:rPr>
          <w:b/>
          <w:bCs/>
        </w:rPr>
        <w:t xml:space="preserve">August 3</w:t>
      </w:r>
      <w:r>
        <w:t xml:space="preserve"> </w:t>
      </w:r>
      <w:r>
        <w:t xml:space="preserve">market close.</w:t>
      </w:r>
    </w:p>
    <w:bookmarkStart w:id="9" w:name="Xd4cb719b2d1f23e62df672c4787996d0fc9c339"/>
    <w:p>
      <w:pPr>
        <w:pStyle w:val="Heading2"/>
      </w:pPr>
      <w:r>
        <w:t xml:space="preserve">Investment view: this is a phosphate-margin and outlook call, not simply an EPS print</w:t>
      </w:r>
    </w:p>
    <w:p>
      <w:pPr>
        <w:pStyle w:val="FirstParagraph"/>
      </w:pPr>
      <w:r>
        <w:t xml:space="preserve">Mosaic enters 2Q26 earnings with a</w:t>
      </w:r>
      <w:r>
        <w:t xml:space="preserve"> </w:t>
      </w:r>
      <w:r>
        <w:rPr>
          <w:b/>
          <w:bCs/>
        </w:rPr>
        <w:t xml:space="preserve">mixed setup</w:t>
      </w:r>
      <w:r>
        <w:t xml:space="preserve">: potash should remain a relatively dependable earnings contributor, while phosphate is caught between sharply higher finished-product prices and an unusually severe raw-material squeeze—especially sulfur. The market’s focus should be less on reported GAAP EPS, which may still be affected by idling/restructuring and mark-to-market items, and more on:</w:t>
      </w:r>
    </w:p>
    <w:p>
      <w:pPr>
        <w:pStyle w:val="Compact"/>
        <w:numPr>
          <w:ilvl w:val="0"/>
          <w:numId w:val="1001"/>
        </w:numPr>
      </w:pPr>
      <w:r>
        <w:rPr>
          <w:b/>
          <w:bCs/>
        </w:rPr>
        <w:t xml:space="preserve">How much Q2 phosphate profitability held up despite input inflation and curtailments;</w:t>
      </w:r>
    </w:p>
    <w:p>
      <w:pPr>
        <w:pStyle w:val="Compact"/>
        <w:numPr>
          <w:ilvl w:val="0"/>
          <w:numId w:val="1001"/>
        </w:numPr>
      </w:pPr>
      <w:r>
        <w:rPr>
          <w:b/>
          <w:bCs/>
        </w:rPr>
        <w:t xml:space="preserve">Whether management can restore credible second-half phosphate volume guidance;</w:t>
      </w:r>
    </w:p>
    <w:p>
      <w:pPr>
        <w:pStyle w:val="Compact"/>
        <w:numPr>
          <w:ilvl w:val="0"/>
          <w:numId w:val="1001"/>
        </w:numPr>
      </w:pPr>
      <w:r>
        <w:rPr>
          <w:b/>
          <w:bCs/>
        </w:rPr>
        <w:t xml:space="preserve">The durability of potash pricing, volumes, and the Esterhazy cost-reduction ramp;</w:t>
      </w:r>
    </w:p>
    <w:p>
      <w:pPr>
        <w:pStyle w:val="Compact"/>
        <w:numPr>
          <w:ilvl w:val="0"/>
          <w:numId w:val="1001"/>
        </w:numPr>
      </w:pPr>
      <w:r>
        <w:rPr>
          <w:b/>
          <w:bCs/>
        </w:rPr>
        <w:t xml:space="preserve">Brazil’s recovery trajectory following asset idlings and a difficult farm-credit environment;</w:t>
      </w:r>
      <w:r>
        <w:t xml:space="preserve"> </w:t>
      </w:r>
      <w:r>
        <w:t xml:space="preserve">and</w:t>
      </w:r>
    </w:p>
    <w:p>
      <w:pPr>
        <w:pStyle w:val="Compact"/>
        <w:numPr>
          <w:ilvl w:val="0"/>
          <w:numId w:val="1001"/>
        </w:numPr>
      </w:pPr>
      <w:r>
        <w:rPr>
          <w:b/>
          <w:bCs/>
        </w:rPr>
        <w:t xml:space="preserve">Whether cash generation and liquidity remain on track under a lower-capex plan.</w:t>
      </w:r>
    </w:p>
    <w:p>
      <w:pPr>
        <w:pStyle w:val="FirstParagraph"/>
      </w:pPr>
      <w:r>
        <w:t xml:space="preserve">MOS closed at</w:t>
      </w:r>
      <w:r>
        <w:t xml:space="preserve"> </w:t>
      </w:r>
      <w:r>
        <w:rPr>
          <w:b/>
          <w:bCs/>
        </w:rPr>
        <w:t xml:space="preserve">$21.82 on August 3</w:t>
      </w:r>
      <w:r>
        <w:t xml:space="preserve">, down roughly</w:t>
      </w:r>
      <w:r>
        <w:t xml:space="preserve"> </w:t>
      </w:r>
      <w:r>
        <w:rPr>
          <w:b/>
          <w:bCs/>
        </w:rPr>
        <w:t xml:space="preserve">12.8% year-to-date</w:t>
      </w:r>
      <w:r>
        <w:t xml:space="preserve"> </w:t>
      </w:r>
      <w:r>
        <w:t xml:space="preserve">and</w:t>
      </w:r>
      <w:r>
        <w:t xml:space="preserve"> </w:t>
      </w:r>
      <w:r>
        <w:rPr>
          <w:b/>
          <w:bCs/>
        </w:rPr>
        <w:t xml:space="preserve">30.4% below its March 12 high of $31.36</w:t>
      </w:r>
      <w:r>
        <w:t xml:space="preserve">. That price action suggests investors have already discounted a meaningful amount of phosphate disruption—but it also raises the importance of whether Mosaic can demonstrate that the disruption is temporary rather than a prolonged earnings reset.</w:t>
      </w:r>
    </w:p>
    <w:p>
      <w:r>
        <w:pict>
          <v:rect style="width:0;height:1.5pt" o:hralign="center" o:hrstd="t" o:hr="t"/>
        </w:pict>
      </w:r>
    </w:p>
    <w:bookmarkEnd w:id="9"/>
    <w:bookmarkStart w:id="12" w:name="Xa44a8133608e7ee9be018c461caea27204314f0"/>
    <w:p>
      <w:pPr>
        <w:pStyle w:val="Heading2"/>
      </w:pPr>
      <w:r>
        <w:t xml:space="preserve">The core debate: Q2 realized margins versus the second-half reset</w:t>
      </w:r>
    </w:p>
    <w:p>
      <w:pPr>
        <w:pStyle w:val="FirstParagraph"/>
      </w:pPr>
      <w:r>
        <w:t xml:space="preserve">At 1Q earnings, Mosaic described a highly unusual phosphate market: finished-product prices were rising, but sulfur availability and spot prices had risen even faster. The company’s operating response was to</w:t>
      </w:r>
      <w:r>
        <w:t xml:space="preserve"> </w:t>
      </w:r>
      <w:r>
        <w:rPr>
          <w:b/>
          <w:bCs/>
        </w:rPr>
        <w:t xml:space="preserve">partially curtail phosphate production at Louisiana and Bartow</w:t>
      </w:r>
      <w:r>
        <w:t xml:space="preserve">, while scaling back Brazilian output, rather than consume raw materials at unattractive incremental economics.</w:t>
      </w:r>
    </w:p>
    <w:p>
      <w:pPr>
        <w:pStyle w:val="BodyText"/>
      </w:pPr>
      <w:r>
        <w:t xml:space="preserve">That decision makes the Q2 report especially important for two reasons:</w:t>
      </w:r>
    </w:p>
    <w:p>
      <w:pPr>
        <w:pStyle w:val="Compact"/>
        <w:numPr>
          <w:ilvl w:val="0"/>
          <w:numId w:val="1002"/>
        </w:numPr>
      </w:pPr>
      <w:r>
        <w:rPr>
          <w:b/>
          <w:bCs/>
        </w:rPr>
        <w:t xml:space="preserve">Q2 should still benefit from a favorable pricing book and inventory timing.</w:t>
      </w:r>
      <w:r>
        <w:t xml:space="preserve"> </w:t>
      </w:r>
      <w:r>
        <w:t xml:space="preserve">Mosaic guided to DAP prices of</w:t>
      </w:r>
      <w:r>
        <w:t xml:space="preserve"> </w:t>
      </w:r>
      <m:oMath>
        <m:r>
          <m:t>760</m:t>
        </m:r>
        <m:r>
          <m:rPr>
            <m:sty m:val="p"/>
          </m:rPr>
          <m:t>–</m:t>
        </m:r>
      </m:oMath>
      <w:r>
        <w:rPr>
          <w:b/>
          <w:bCs/>
        </w:rPr>
        <w:t xml:space="preserve">780 per tonne</w:t>
      </w:r>
      <w:r>
        <w:t xml:space="preserve">, versus</w:t>
      </w:r>
      <w:r>
        <w:t xml:space="preserve"> </w:t>
      </w:r>
      <w:r>
        <w:rPr>
          <w:b/>
          <w:bCs/>
        </w:rPr>
        <w:t xml:space="preserve">$668 per tonne</w:t>
      </w:r>
      <w:r>
        <w:t xml:space="preserve"> </w:t>
      </w:r>
      <w:r>
        <w:t xml:space="preserve">in 1Q.</w:t>
      </w:r>
    </w:p>
    <w:p>
      <w:pPr>
        <w:pStyle w:val="Compact"/>
        <w:numPr>
          <w:ilvl w:val="0"/>
          <w:numId w:val="1002"/>
        </w:numPr>
      </w:pPr>
      <w:r>
        <w:rPr>
          <w:b/>
          <w:bCs/>
        </w:rPr>
        <w:t xml:space="preserve">But the quarter should also absorb materially higher sulfur costs.</w:t>
      </w:r>
      <w:r>
        <w:t xml:space="preserve"> </w:t>
      </w:r>
      <w:r>
        <w:t xml:space="preserve">Management guided to roughly</w:t>
      </w:r>
      <w:r>
        <w:t xml:space="preserve"> </w:t>
      </w:r>
      <m:oMath>
        <m:r>
          <m:t>540</m:t>
        </m:r>
        <m:r>
          <m:t>p</m:t>
        </m:r>
        <m:r>
          <m:t>e</m:t>
        </m:r>
        <m:r>
          <m:t>r</m:t>
        </m:r>
        <m:r>
          <m:t>t</m:t>
        </m:r>
        <m:r>
          <m:t>o</m:t>
        </m:r>
        <m:r>
          <m:t>n</m:t>
        </m:r>
        <m:r>
          <m:t>n</m:t>
        </m:r>
        <m:r>
          <m:t>e</m:t>
        </m:r>
        <m:r>
          <m:rPr>
            <m:sty m:val="p"/>
          </m:rPr>
          <m:t>*</m:t>
        </m:r>
        <m:r>
          <m:rPr>
            <m:sty m:val="p"/>
          </m:rPr>
          <m:t>*</m:t>
        </m:r>
        <m:r>
          <m:t>r</m:t>
        </m:r>
        <m:r>
          <m:t>e</m:t>
        </m:r>
        <m:r>
          <m:t>a</m:t>
        </m:r>
        <m:r>
          <m:t>l</m:t>
        </m:r>
        <m:r>
          <m:t>i</m:t>
        </m:r>
        <m:r>
          <m:t>z</m:t>
        </m:r>
        <m:r>
          <m:t>e</m:t>
        </m:r>
        <m:r>
          <m:t>d</m:t>
        </m:r>
        <m:r>
          <m:t>s</m:t>
        </m:r>
        <m:r>
          <m:t>u</m:t>
        </m:r>
        <m:r>
          <m:t>l</m:t>
        </m:r>
        <m:r>
          <m:t>f</m:t>
        </m:r>
        <m:r>
          <m:t>u</m:t>
        </m:r>
        <m:r>
          <m:t>r</m:t>
        </m:r>
        <m:r>
          <m:t>c</m:t>
        </m:r>
        <m:r>
          <m:t>o</m:t>
        </m:r>
        <m:r>
          <m:t>s</m:t>
        </m:r>
        <m:r>
          <m:t>t</m:t>
        </m:r>
        <m:r>
          <m:t>i</m:t>
        </m:r>
        <m:r>
          <m:t>n</m:t>
        </m:r>
        <m:r>
          <m:t>Q</m:t>
        </m:r>
        <m:r>
          <m:t>2</m:t>
        </m:r>
        <m:r>
          <m:rPr>
            <m:sty m:val="p"/>
          </m:rPr>
          <m:t>,</m:t>
        </m:r>
        <m:r>
          <m:t>u</m:t>
        </m:r>
        <m:r>
          <m:t>p</m:t>
        </m:r>
        <m:r>
          <m:t>f</m:t>
        </m:r>
        <m:r>
          <m:t>r</m:t>
        </m:r>
        <m:r>
          <m:t>o</m:t>
        </m:r>
        <m:r>
          <m:t>m</m:t>
        </m:r>
        <m:r>
          <m:rPr>
            <m:sty m:val="p"/>
          </m:rPr>
          <m:t>*</m:t>
        </m:r>
        <m:r>
          <m:rPr>
            <m:sty m:val="p"/>
          </m:rPr>
          <m:t>*</m:t>
        </m:r>
      </m:oMath>
      <w:r>
        <w:rPr>
          <w:b/>
          <w:bCs/>
        </w:rPr>
        <w:t xml:space="preserve">379 per tonne</w:t>
      </w:r>
      <w:r>
        <w:t xml:space="preserve"> </w:t>
      </w:r>
      <w:r>
        <w:t xml:space="preserve">in 1Q. It indicated that the Q2 committed sales book, which was about 60% priced at the time, could still support phosphate stripping margins above $400 per tonne.</w:t>
      </w:r>
    </w:p>
    <w:p>
      <w:pPr>
        <w:pStyle w:val="FirstParagraph"/>
      </w:pPr>
      <w:r>
        <w:t xml:space="preserve">The market will likely view Q2 as a bridge quarter. Strong realized DAP pricing could protect earnings despite the lower production plan, but the more consequential issue is whether sulfur availability and cost have improved sufficiently to support normal operating rates and reasonable marginal returns in 3Q and beyond.</w:t>
      </w:r>
    </w:p>
    <w:bookmarkStart w:id="10" w:name="what-would-be-constructive"/>
    <w:p>
      <w:pPr>
        <w:pStyle w:val="Heading3"/>
      </w:pPr>
      <w:r>
        <w:t xml:space="preserve">What would be constructive</w:t>
      </w:r>
    </w:p>
    <w:p>
      <w:pPr>
        <w:pStyle w:val="Compact"/>
        <w:numPr>
          <w:ilvl w:val="0"/>
          <w:numId w:val="1003"/>
        </w:numPr>
      </w:pPr>
      <w:r>
        <w:t xml:space="preserve">Phosphate volumes near the</w:t>
      </w:r>
      <w:r>
        <w:t xml:space="preserve"> </w:t>
      </w:r>
      <w:r>
        <w:rPr>
          <w:b/>
          <w:bCs/>
        </w:rPr>
        <w:t xml:space="preserve">upper end</w:t>
      </w:r>
      <w:r>
        <w:t xml:space="preserve"> </w:t>
      </w:r>
      <w:r>
        <w:t xml:space="preserve">of Mosaic’s</w:t>
      </w:r>
      <w:r>
        <w:t xml:space="preserve"> </w:t>
      </w:r>
      <w:r>
        <w:rPr>
          <w:b/>
          <w:bCs/>
        </w:rPr>
        <w:t xml:space="preserve">1.4–1.7 million tonne</w:t>
      </w:r>
      <w:r>
        <w:t xml:space="preserve"> </w:t>
      </w:r>
      <w:r>
        <w:t xml:space="preserve">Q2 guidance range.</w:t>
      </w:r>
    </w:p>
    <w:p>
      <w:pPr>
        <w:pStyle w:val="Compact"/>
        <w:numPr>
          <w:ilvl w:val="0"/>
          <w:numId w:val="1003"/>
        </w:numPr>
      </w:pPr>
      <w:r>
        <w:t xml:space="preserve">Realized DAP pricing at or above the guided</w:t>
      </w:r>
      <w:r>
        <w:t xml:space="preserve"> </w:t>
      </w:r>
      <m:oMath>
        <m:r>
          <m:t>760</m:t>
        </m:r>
        <m:r>
          <m:rPr>
            <m:sty m:val="p"/>
          </m:rPr>
          <m:t>–</m:t>
        </m:r>
      </m:oMath>
      <w:r>
        <w:rPr>
          <w:b/>
          <w:bCs/>
        </w:rPr>
        <w:t xml:space="preserve">780/tonne</w:t>
      </w:r>
      <w:r>
        <w:t xml:space="preserve"> </w:t>
      </w:r>
      <w:r>
        <w:t xml:space="preserve">range.</w:t>
      </w:r>
    </w:p>
    <w:p>
      <w:pPr>
        <w:pStyle w:val="Compact"/>
        <w:numPr>
          <w:ilvl w:val="0"/>
          <w:numId w:val="1003"/>
        </w:numPr>
      </w:pPr>
      <w:r>
        <w:t xml:space="preserve">Evidence that raw-material costs peaked during Q2 or that sulfur supply has become more available.</w:t>
      </w:r>
    </w:p>
    <w:p>
      <w:pPr>
        <w:pStyle w:val="Compact"/>
        <w:numPr>
          <w:ilvl w:val="0"/>
          <w:numId w:val="1003"/>
        </w:numPr>
      </w:pPr>
      <w:r>
        <w:t xml:space="preserve">A reinstatement of phosphate production guidance, or at least a clearer range for second-half utilization.</w:t>
      </w:r>
    </w:p>
    <w:p>
      <w:pPr>
        <w:pStyle w:val="Compact"/>
        <w:numPr>
          <w:ilvl w:val="0"/>
          <w:numId w:val="1003"/>
        </w:numPr>
      </w:pPr>
      <w:r>
        <w:t xml:space="preserve">Confirmation that New Wales is performing well following its major turnaround.</w:t>
      </w:r>
    </w:p>
    <w:bookmarkEnd w:id="10"/>
    <w:bookmarkStart w:id="11" w:name="what-would-concern-investors"/>
    <w:p>
      <w:pPr>
        <w:pStyle w:val="Heading3"/>
      </w:pPr>
      <w:r>
        <w:t xml:space="preserve">What would concern investors</w:t>
      </w:r>
    </w:p>
    <w:p>
      <w:pPr>
        <w:pStyle w:val="Compact"/>
        <w:numPr>
          <w:ilvl w:val="0"/>
          <w:numId w:val="1004"/>
        </w:numPr>
      </w:pPr>
      <w:r>
        <w:t xml:space="preserve">Volumes toward or below the low end of guidance due to extended curtailments.</w:t>
      </w:r>
    </w:p>
    <w:p>
      <w:pPr>
        <w:pStyle w:val="Compact"/>
        <w:numPr>
          <w:ilvl w:val="0"/>
          <w:numId w:val="1004"/>
        </w:numPr>
      </w:pPr>
      <w:r>
        <w:t xml:space="preserve">Further deterioration in phosphate unit costs from under-utilization.</w:t>
      </w:r>
    </w:p>
    <w:p>
      <w:pPr>
        <w:pStyle w:val="Compact"/>
        <w:numPr>
          <w:ilvl w:val="0"/>
          <w:numId w:val="1004"/>
        </w:numPr>
      </w:pPr>
      <w:r>
        <w:t xml:space="preserve">A view that sulfur remains structurally constrained or that spot economics remain below variable-cost thresholds.</w:t>
      </w:r>
    </w:p>
    <w:p>
      <w:pPr>
        <w:pStyle w:val="Compact"/>
        <w:numPr>
          <w:ilvl w:val="0"/>
          <w:numId w:val="1004"/>
        </w:numPr>
      </w:pPr>
      <w:r>
        <w:t xml:space="preserve">Another withdrawal, reduction, or lack of visibility around second-half production plans.</w:t>
      </w:r>
    </w:p>
    <w:p>
      <w:r>
        <w:pict>
          <v:rect style="width:0;height:1.5pt" o:hralign="center" o:hrstd="t" o:hr="t"/>
        </w:pict>
      </w:r>
    </w:p>
    <w:bookmarkEnd w:id="11"/>
    <w:bookmarkEnd w:id="12"/>
    <w:bookmarkStart w:id="16" w:name="segment-preview"/>
    <w:p>
      <w:pPr>
        <w:pStyle w:val="Heading2"/>
      </w:pPr>
      <w:r>
        <w:t xml:space="preserve">Segment preview</w:t>
      </w:r>
    </w:p>
    <w:bookmarkStart w:id="13" w:name="Xc769fd8e6c61f19e374fac278ff04f4ef1eb929"/>
    <w:p>
      <w:pPr>
        <w:pStyle w:val="Heading3"/>
      </w:pPr>
      <w:r>
        <w:t xml:space="preserve">1. Phosphate: higher selling prices, but volume and input-cost risk dominate</w:t>
      </w:r>
    </w:p>
    <w:p>
      <w:pPr>
        <w:pStyle w:val="FirstParagraph"/>
      </w:pPr>
      <w:r>
        <w:t xml:space="preserve">In 1Q, Mosaic’s Phosphate segment generated</w:t>
      </w:r>
      <w:r>
        <w:t xml:space="preserve"> </w:t>
      </w:r>
      <m:oMath>
        <m:r>
          <m:t>115</m:t>
        </m:r>
        <m:r>
          <m:t>m</m:t>
        </m:r>
        <m:r>
          <m:t>i</m:t>
        </m:r>
        <m:r>
          <m:t>l</m:t>
        </m:r>
        <m:r>
          <m:t>l</m:t>
        </m:r>
        <m:r>
          <m:t>i</m:t>
        </m:r>
        <m:r>
          <m:t>o</m:t>
        </m:r>
        <m:r>
          <m:t>n</m:t>
        </m:r>
        <m:r>
          <m:t>o</m:t>
        </m:r>
        <m:r>
          <m:t>f</m:t>
        </m:r>
        <m:r>
          <m:t>a</m:t>
        </m:r>
        <m:r>
          <m:t>d</m:t>
        </m:r>
        <m:r>
          <m:t>j</m:t>
        </m:r>
        <m:r>
          <m:t>u</m:t>
        </m:r>
        <m:r>
          <m:t>s</m:t>
        </m:r>
        <m:r>
          <m:t>t</m:t>
        </m:r>
        <m:r>
          <m:t>e</m:t>
        </m:r>
        <m:r>
          <m:t>d</m:t>
        </m:r>
        <m:r>
          <m:t>E</m:t>
        </m:r>
        <m:r>
          <m:t>B</m:t>
        </m:r>
        <m:r>
          <m:t>I</m:t>
        </m:r>
        <m:r>
          <m:t>T</m:t>
        </m:r>
        <m:r>
          <m:t>D</m:t>
        </m:r>
        <m:r>
          <m:t>A</m:t>
        </m:r>
        <m:r>
          <m:rPr>
            <m:sty m:val="p"/>
          </m:rPr>
          <m:t>*</m:t>
        </m:r>
        <m:r>
          <m:rPr>
            <m:sty m:val="p"/>
          </m:rPr>
          <m:t>*</m:t>
        </m:r>
        <m:r>
          <m:rPr>
            <m:sty m:val="p"/>
          </m:rPr>
          <m:t>,</m:t>
        </m:r>
        <m:r>
          <m:t>d</m:t>
        </m:r>
        <m:r>
          <m:t>o</m:t>
        </m:r>
        <m:r>
          <m:t>w</m:t>
        </m:r>
        <m:r>
          <m:t>n</m:t>
        </m:r>
        <m:r>
          <m:t>f</m:t>
        </m:r>
        <m:r>
          <m:t>r</m:t>
        </m:r>
        <m:r>
          <m:t>o</m:t>
        </m:r>
        <m:r>
          <m:t>m</m:t>
        </m:r>
        <m:r>
          <m:rPr>
            <m:sty m:val="p"/>
          </m:rPr>
          <m:t>*</m:t>
        </m:r>
        <m:r>
          <m:rPr>
            <m:sty m:val="p"/>
          </m:rPr>
          <m:t>*</m:t>
        </m:r>
      </m:oMath>
      <w:r>
        <w:rPr>
          <w:b/>
          <w:bCs/>
        </w:rPr>
        <w:t xml:space="preserve">276 million</w:t>
      </w:r>
      <w:r>
        <w:t xml:space="preserve"> </w:t>
      </w:r>
      <w:r>
        <w:t xml:space="preserve">a year earlier. Sales volume was strong at</w:t>
      </w:r>
      <w:r>
        <w:t xml:space="preserve"> </w:t>
      </w:r>
      <w:r>
        <w:rPr>
          <w:b/>
          <w:bCs/>
        </w:rPr>
        <w:t xml:space="preserve">1.9 million tonnes</w:t>
      </w:r>
      <w:r>
        <w:t xml:space="preserve">, but the segment’s economics were compressed by a</w:t>
      </w:r>
      <w:r>
        <w:t xml:space="preserve"> </w:t>
      </w:r>
      <w:r>
        <w:rPr>
          <w:b/>
          <w:bCs/>
        </w:rPr>
        <w:t xml:space="preserve">$280 million year-over-year increase in raw-material costs</w:t>
      </w:r>
      <w:r>
        <w:t xml:space="preserve">.</w:t>
      </w:r>
    </w:p>
    <w:p>
      <w:pPr>
        <w:pStyle w:val="BodyText"/>
      </w:pPr>
      <w:r>
        <w:t xml:space="preserve">For 2Q, management guided: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Phosphate metric</w:t>
            </w:r>
          </w:p>
        </w:tc>
        <w:tc>
          <w:tcPr/>
          <w:p>
            <w:pPr>
              <w:pStyle w:val="Compact"/>
              <w:jc w:val="right"/>
            </w:pPr>
            <w:r>
              <w:t xml:space="preserve">1Q26 actual</w:t>
            </w:r>
          </w:p>
        </w:tc>
        <w:tc>
          <w:tcPr/>
          <w:p>
            <w:pPr>
              <w:pStyle w:val="Compact"/>
              <w:jc w:val="right"/>
            </w:pPr>
            <w:r>
              <w:t xml:space="preserve">2Q26 company outlook</w:t>
            </w:r>
          </w:p>
        </w:tc>
      </w:tr>
      <w:tr>
        <w:tc>
          <w:tcPr/>
          <w:p>
            <w:pPr>
              <w:pStyle w:val="Compact"/>
            </w:pPr>
            <w:r>
              <w:t xml:space="preserve">Sales volumes</w:t>
            </w:r>
          </w:p>
        </w:tc>
        <w:tc>
          <w:tcPr/>
          <w:p>
            <w:pPr>
              <w:pStyle w:val="Compact"/>
              <w:jc w:val="right"/>
            </w:pPr>
            <w:r>
              <w:t xml:space="preserve">1.9m tonnes</w:t>
            </w:r>
          </w:p>
        </w:tc>
        <w:tc>
          <w:tcPr/>
          <w:p>
            <w:pPr>
              <w:pStyle w:val="Compact"/>
              <w:jc w:val="right"/>
            </w:pPr>
            <w:r>
              <w:t xml:space="preserve">1.4m–1.7m tonnes</w:t>
            </w:r>
          </w:p>
        </w:tc>
      </w:tr>
      <w:tr>
        <w:tc>
          <w:tcPr/>
          <w:p>
            <w:pPr>
              <w:pStyle w:val="Compact"/>
            </w:pPr>
            <w:r>
              <w:t xml:space="preserve">DAP price, FOB plant</w:t>
            </w:r>
          </w:p>
        </w:tc>
        <w:tc>
          <w:tcPr/>
          <w:p>
            <w:pPr>
              <w:pStyle w:val="Compact"/>
              <w:jc w:val="right"/>
            </w:pPr>
            <w:r>
              <w:t xml:space="preserve">$668/tonne</w:t>
            </w:r>
          </w:p>
        </w:tc>
        <w:tc>
          <w:tcPr/>
          <w:p>
            <w:pPr>
              <w:pStyle w:val="Compact"/>
              <w:jc w:val="right"/>
            </w:pPr>
            <m:oMath>
              <m:r>
                <m:t>760</m:t>
              </m:r>
              <m:r>
                <m:rPr>
                  <m:sty m:val="p"/>
                </m:rPr>
                <m:t>–</m:t>
              </m:r>
            </m:oMath>
            <w:r>
              <w:t xml:space="preserve">780/tonne</w:t>
            </w:r>
          </w:p>
        </w:tc>
      </w:tr>
      <w:tr>
        <w:tc>
          <w:tcPr/>
          <w:p>
            <w:pPr>
              <w:pStyle w:val="Compact"/>
            </w:pPr>
            <w:r>
              <w:t xml:space="preserve">Sulfur cost in COGS</w:t>
            </w:r>
          </w:p>
        </w:tc>
        <w:tc>
          <w:tcPr/>
          <w:p>
            <w:pPr>
              <w:pStyle w:val="Compact"/>
              <w:jc w:val="right"/>
            </w:pPr>
            <w:r>
              <w:t xml:space="preserve">$379/long ton</w:t>
            </w:r>
          </w:p>
        </w:tc>
        <w:tc>
          <w:tcPr/>
          <w:p>
            <w:pPr>
              <w:pStyle w:val="Compact"/>
              <w:jc w:val="right"/>
            </w:pPr>
            <w:r>
              <w:t xml:space="preserve">~ $540/tonne</w:t>
            </w:r>
          </w:p>
        </w:tc>
      </w:tr>
      <w:tr>
        <w:tc>
          <w:tcPr/>
          <w:p>
            <w:pPr>
              <w:pStyle w:val="Compact"/>
            </w:pPr>
            <w:r>
              <w:t xml:space="preserve">Cash conversion cost</w:t>
            </w:r>
          </w:p>
        </w:tc>
        <w:tc>
          <w:tcPr/>
          <w:p>
            <w:pPr>
              <w:pStyle w:val="Compact"/>
              <w:jc w:val="right"/>
            </w:pPr>
            <w:r>
              <w:t xml:space="preserve">$124/tonne</w:t>
            </w:r>
          </w:p>
        </w:tc>
        <w:tc>
          <w:tcPr/>
          <w:p>
            <w:pPr>
              <w:pStyle w:val="Compact"/>
              <w:jc w:val="right"/>
            </w:pPr>
            <w:r>
              <w:t xml:space="preserve">Higher in Q2; lower expected later in year</w:t>
            </w:r>
          </w:p>
        </w:tc>
      </w:tr>
    </w:tbl>
    <w:p>
      <w:pPr>
        <w:pStyle w:val="BodyText"/>
      </w:pPr>
      <w:r>
        <w:t xml:space="preserve">The trade-off is clear:</w:t>
      </w:r>
      <w:r>
        <w:t xml:space="preserve"> </w:t>
      </w:r>
      <w:r>
        <w:rPr>
          <w:b/>
          <w:bCs/>
        </w:rPr>
        <w:t xml:space="preserve">pricing should be substantially better, but lower volumes and higher raw-material costs may offset much of that benefit</w:t>
      </w:r>
      <w:r>
        <w:t xml:space="preserve">. Importantly, 1Q’s $124/tonne conversion cost included New Wales turnaround costs; management had expected improving asset performance to lower costs over time. The curtailments complicate that improvement because lower utilization spreads fixed costs over fewer tonnes.</w:t>
      </w:r>
    </w:p>
    <w:p>
      <w:pPr>
        <w:pStyle w:val="BodyText"/>
      </w:pPr>
      <w:r>
        <w:rPr>
          <w:b/>
          <w:bCs/>
        </w:rPr>
        <w:t xml:space="preserve">Key call question:</w:t>
      </w:r>
      <w:r>
        <w:t xml:space="preserve"> </w:t>
      </w:r>
      <w:r>
        <w:t xml:space="preserve">Can Mosaic show that New Wales and the other U.S. phosphate assets are operating reliably enough to ramp quickly once sulfur economics normalize?</w:t>
      </w:r>
    </w:p>
    <w:p>
      <w:r>
        <w:pict>
          <v:rect style="width:0;height:1.5pt" o:hralign="center" o:hrstd="t" o:hr="t"/>
        </w:pict>
      </w:r>
    </w:p>
    <w:bookmarkEnd w:id="13"/>
    <w:bookmarkStart w:id="14" w:name="Xa6cb6933cc53f4136775aee7f1f658d9dcd57e0"/>
    <w:p>
      <w:pPr>
        <w:pStyle w:val="Heading3"/>
      </w:pPr>
      <w:r>
        <w:t xml:space="preserve">2. Potash: the stabilizer, with second-half execution still important</w:t>
      </w:r>
    </w:p>
    <w:p>
      <w:pPr>
        <w:pStyle w:val="FirstParagraph"/>
      </w:pPr>
      <w:r>
        <w:t xml:space="preserve">Potash remains Mosaic’s clearest operational support. In 1Q, the segment produced:</w:t>
      </w:r>
    </w:p>
    <w:p>
      <w:pPr>
        <w:pStyle w:val="Compact"/>
        <w:numPr>
          <w:ilvl w:val="0"/>
          <w:numId w:val="1005"/>
        </w:numPr>
      </w:pPr>
      <w:r>
        <w:rPr>
          <w:b/>
          <w:bCs/>
        </w:rPr>
        <w:t xml:space="preserve">$275 million adjusted EBITDA</w:t>
      </w:r>
    </w:p>
    <w:p>
      <w:pPr>
        <w:pStyle w:val="Compact"/>
        <w:numPr>
          <w:ilvl w:val="0"/>
          <w:numId w:val="1005"/>
        </w:numPr>
      </w:pPr>
      <w:r>
        <w:rPr>
          <w:b/>
          <w:bCs/>
        </w:rPr>
        <w:t xml:space="preserve">2.2 million tonnes</w:t>
      </w:r>
      <w:r>
        <w:t xml:space="preserve"> </w:t>
      </w:r>
      <w:r>
        <w:t xml:space="preserve">of sales volumes</w:t>
      </w:r>
    </w:p>
    <w:p>
      <w:pPr>
        <w:pStyle w:val="Compact"/>
        <w:numPr>
          <w:ilvl w:val="0"/>
          <w:numId w:val="1005"/>
        </w:numPr>
      </w:pPr>
      <w:r>
        <w:rPr>
          <w:b/>
          <w:bCs/>
        </w:rPr>
        <w:t xml:space="preserve">$265/tonne</w:t>
      </w:r>
      <w:r>
        <w:t xml:space="preserve"> </w:t>
      </w:r>
      <w:r>
        <w:t xml:space="preserve">realized MOP price</w:t>
      </w:r>
    </w:p>
    <w:p>
      <w:pPr>
        <w:pStyle w:val="Compact"/>
        <w:numPr>
          <w:ilvl w:val="0"/>
          <w:numId w:val="1005"/>
        </w:numPr>
      </w:pPr>
      <w:r>
        <w:rPr>
          <w:b/>
          <w:bCs/>
        </w:rPr>
        <w:t xml:space="preserve">$84/tonne</w:t>
      </w:r>
      <w:r>
        <w:t xml:space="preserve"> </w:t>
      </w:r>
      <w:r>
        <w:t xml:space="preserve">MOP cash cost of production</w:t>
      </w:r>
    </w:p>
    <w:p>
      <w:pPr>
        <w:pStyle w:val="FirstParagraph"/>
      </w:pPr>
      <w:r>
        <w:t xml:space="preserve">For 2Q, Mosaic guided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Potash metric</w:t>
            </w:r>
          </w:p>
        </w:tc>
        <w:tc>
          <w:tcPr/>
          <w:p>
            <w:pPr>
              <w:pStyle w:val="Compact"/>
              <w:jc w:val="right"/>
            </w:pPr>
            <w:r>
              <w:t xml:space="preserve">1Q26 actual</w:t>
            </w:r>
          </w:p>
        </w:tc>
        <w:tc>
          <w:tcPr/>
          <w:p>
            <w:pPr>
              <w:pStyle w:val="Compact"/>
              <w:jc w:val="right"/>
            </w:pPr>
            <w:r>
              <w:t xml:space="preserve">2Q26 company outlook</w:t>
            </w:r>
          </w:p>
        </w:tc>
      </w:tr>
      <w:tr>
        <w:tc>
          <w:tcPr/>
          <w:p>
            <w:pPr>
              <w:pStyle w:val="Compact"/>
            </w:pPr>
            <w:r>
              <w:t xml:space="preserve">Sales volumes</w:t>
            </w:r>
          </w:p>
        </w:tc>
        <w:tc>
          <w:tcPr/>
          <w:p>
            <w:pPr>
              <w:pStyle w:val="Compact"/>
              <w:jc w:val="right"/>
            </w:pPr>
            <w:r>
              <w:t xml:space="preserve">2.2m tonnes</w:t>
            </w:r>
          </w:p>
        </w:tc>
        <w:tc>
          <w:tcPr/>
          <w:p>
            <w:pPr>
              <w:pStyle w:val="Compact"/>
              <w:jc w:val="right"/>
            </w:pPr>
            <w:r>
              <w:t xml:space="preserve">1.9m–2.1m tonnes</w:t>
            </w:r>
          </w:p>
        </w:tc>
      </w:tr>
      <w:tr>
        <w:tc>
          <w:tcPr/>
          <w:p>
            <w:pPr>
              <w:pStyle w:val="Compact"/>
            </w:pPr>
            <w:r>
              <w:t xml:space="preserve">MOP price, FOB mine</w:t>
            </w:r>
          </w:p>
        </w:tc>
        <w:tc>
          <w:tcPr/>
          <w:p>
            <w:pPr>
              <w:pStyle w:val="Compact"/>
              <w:jc w:val="right"/>
            </w:pPr>
            <w:r>
              <w:t xml:space="preserve">$265/tonne</w:t>
            </w:r>
          </w:p>
        </w:tc>
        <w:tc>
          <w:tcPr/>
          <w:p>
            <w:pPr>
              <w:pStyle w:val="Compact"/>
              <w:jc w:val="right"/>
            </w:pPr>
            <m:oMath>
              <m:r>
                <m:t>260</m:t>
              </m:r>
              <m:r>
                <m:rPr>
                  <m:sty m:val="p"/>
                </m:rPr>
                <m:t>–</m:t>
              </m:r>
            </m:oMath>
            <w:r>
              <w:t xml:space="preserve">280/tonne</w:t>
            </w:r>
          </w:p>
        </w:tc>
      </w:tr>
      <w:tr>
        <w:tc>
          <w:tcPr/>
          <w:p>
            <w:pPr>
              <w:pStyle w:val="Compact"/>
            </w:pPr>
            <w:r>
              <w:t xml:space="preserve">Full-year production</w:t>
            </w:r>
          </w:p>
        </w:tc>
        <w:tc>
          <w:tcPr/>
          <w:p>
            <w:pPr>
              <w:pStyle w:val="Compact"/>
              <w:jc w:val="right"/>
            </w:pPr>
            <w:r>
              <w:t xml:space="preserve">—</w:t>
            </w:r>
          </w:p>
        </w:tc>
        <w:tc>
          <w:tcPr/>
          <w:p>
            <w:pPr>
              <w:pStyle w:val="Compact"/>
              <w:jc w:val="right"/>
            </w:pPr>
            <w:r>
              <w:t xml:space="preserve">~9.0m tonnes</w:t>
            </w:r>
          </w:p>
        </w:tc>
      </w:tr>
    </w:tbl>
    <w:p>
      <w:pPr>
        <w:pStyle w:val="BodyText"/>
      </w:pPr>
      <w:r>
        <w:t xml:space="preserve">The guidance implies a relatively steady quarter: pricing should remain close to 1Q levels, while volumes moderate seasonally. The bigger issue is whether the company can deliver on its full-year</w:t>
      </w:r>
      <w:r>
        <w:t xml:space="preserve"> </w:t>
      </w:r>
      <w:r>
        <w:rPr>
          <w:b/>
          <w:bCs/>
        </w:rPr>
        <w:t xml:space="preserve">~9 million tonne</w:t>
      </w:r>
      <w:r>
        <w:t xml:space="preserve"> </w:t>
      </w:r>
      <w:r>
        <w:t xml:space="preserve">production target while driving costs lower through the Esterhazy HydroFloat ramp and related optimization initiatives.</w:t>
      </w:r>
    </w:p>
    <w:p>
      <w:pPr>
        <w:pStyle w:val="BodyText"/>
      </w:pPr>
      <w:r>
        <w:t xml:space="preserve">Management previously said that improving Esterhazy production should more than offset the effect of the Carlsbad divestiture and reduce cost per tonne through the remainder of the year. A reaffirmation of that narrative would be important, particularly if phosphate remains constrained.</w:t>
      </w:r>
    </w:p>
    <w:p>
      <w:pPr>
        <w:pStyle w:val="BodyText"/>
      </w:pPr>
      <w:r>
        <w:rPr>
          <w:b/>
          <w:bCs/>
        </w:rPr>
        <w:t xml:space="preserve">Key call question:</w:t>
      </w:r>
      <w:r>
        <w:t xml:space="preserve"> </w:t>
      </w:r>
      <w:r>
        <w:t xml:space="preserve">Is Esterhazy now operating at the expected rate, and does Mosaic still see a tangible second-half potash cost step-down?</w:t>
      </w:r>
    </w:p>
    <w:p>
      <w:r>
        <w:pict>
          <v:rect style="width:0;height:1.5pt" o:hralign="center" o:hrstd="t" o:hr="t"/>
        </w:pict>
      </w:r>
    </w:p>
    <w:bookmarkEnd w:id="14"/>
    <w:bookmarkStart w:id="15" w:name="Xdaddfc96f5a1ad1647315dcd89afc9f03912f12"/>
    <w:p>
      <w:pPr>
        <w:pStyle w:val="Heading3"/>
      </w:pPr>
      <w:r>
        <w:t xml:space="preserve">3. Mosaic Fertilizantes: improving portfolio quality, but limited near-term visibility</w:t>
      </w:r>
    </w:p>
    <w:p>
      <w:pPr>
        <w:pStyle w:val="FirstParagraph"/>
      </w:pPr>
      <w:r>
        <w:t xml:space="preserve">Brazil remains the least predictable business line. In 1Q, Mosaic Fertilizantes delivered</w:t>
      </w:r>
      <w:r>
        <w:t xml:space="preserve"> </w:t>
      </w:r>
      <m:oMath>
        <m:r>
          <m:t>79</m:t>
        </m:r>
        <m:r>
          <m:t>m</m:t>
        </m:r>
        <m:r>
          <m:t>i</m:t>
        </m:r>
        <m:r>
          <m:t>l</m:t>
        </m:r>
        <m:r>
          <m:t>l</m:t>
        </m:r>
        <m:r>
          <m:t>i</m:t>
        </m:r>
        <m:r>
          <m:t>o</m:t>
        </m:r>
        <m:r>
          <m:t>n</m:t>
        </m:r>
        <m:r>
          <m:t>o</m:t>
        </m:r>
        <m:r>
          <m:t>f</m:t>
        </m:r>
        <m:r>
          <m:t>a</m:t>
        </m:r>
        <m:r>
          <m:t>d</m:t>
        </m:r>
        <m:r>
          <m:t>j</m:t>
        </m:r>
        <m:r>
          <m:t>u</m:t>
        </m:r>
        <m:r>
          <m:t>s</m:t>
        </m:r>
        <m:r>
          <m:t>t</m:t>
        </m:r>
        <m:r>
          <m:t>e</m:t>
        </m:r>
        <m:r>
          <m:t>d</m:t>
        </m:r>
        <m:r>
          <m:t>E</m:t>
        </m:r>
        <m:r>
          <m:t>B</m:t>
        </m:r>
        <m:r>
          <m:t>I</m:t>
        </m:r>
        <m:r>
          <m:t>T</m:t>
        </m:r>
        <m:r>
          <m:t>D</m:t>
        </m:r>
        <m:r>
          <m:t>A</m:t>
        </m:r>
        <m:r>
          <m:rPr>
            <m:sty m:val="p"/>
          </m:rPr>
          <m:t>*</m:t>
        </m:r>
        <m:r>
          <m:rPr>
            <m:sty m:val="p"/>
          </m:rPr>
          <m:t>*</m:t>
        </m:r>
        <m:r>
          <m:rPr>
            <m:sty m:val="p"/>
          </m:rPr>
          <m:t>,</m:t>
        </m:r>
        <m:r>
          <m:t>d</m:t>
        </m:r>
        <m:r>
          <m:t>o</m:t>
        </m:r>
        <m:r>
          <m:t>w</m:t>
        </m:r>
        <m:r>
          <m:t>n</m:t>
        </m:r>
        <m:r>
          <m:t>f</m:t>
        </m:r>
        <m:r>
          <m:t>r</m:t>
        </m:r>
        <m:r>
          <m:t>o</m:t>
        </m:r>
        <m:r>
          <m:t>m</m:t>
        </m:r>
        <m:r>
          <m:rPr>
            <m:sty m:val="p"/>
          </m:rPr>
          <m:t>*</m:t>
        </m:r>
        <m:r>
          <m:rPr>
            <m:sty m:val="p"/>
          </m:rPr>
          <m:t>*</m:t>
        </m:r>
      </m:oMath>
      <w:r>
        <w:rPr>
          <w:b/>
          <w:bCs/>
        </w:rPr>
        <w:t xml:space="preserve">122 million</w:t>
      </w:r>
      <w:r>
        <w:t xml:space="preserve"> </w:t>
      </w:r>
      <w:r>
        <w:t xml:space="preserve">in the prior-year quarter, amid lower sales volumes, compressed distribution margins, elevated sulfur costs, and difficult farmer-credit conditions.</w:t>
      </w:r>
    </w:p>
    <w:p>
      <w:pPr>
        <w:pStyle w:val="BodyText"/>
      </w:pPr>
      <w:r>
        <w:t xml:space="preserve">The segment also recorded major charges related to the idling of Araxá and Patrocínio. These actions drove a</w:t>
      </w:r>
      <w:r>
        <w:t xml:space="preserve"> </w:t>
      </w:r>
      <m:oMath>
        <m:r>
          <m:t>442</m:t>
        </m:r>
        <m:r>
          <m:t>m</m:t>
        </m:r>
        <m:r>
          <m:t>i</m:t>
        </m:r>
        <m:r>
          <m:t>l</m:t>
        </m:r>
        <m:r>
          <m:t>l</m:t>
        </m:r>
        <m:r>
          <m:t>i</m:t>
        </m:r>
        <m:r>
          <m:t>o</m:t>
        </m:r>
        <m:r>
          <m:t>n</m:t>
        </m:r>
        <m:r>
          <m:rPr>
            <m:sty m:val="p"/>
          </m:rPr>
          <m:t>*</m:t>
        </m:r>
        <m:r>
          <m:rPr>
            <m:sty m:val="p"/>
          </m:rPr>
          <m:t>*</m:t>
        </m:r>
        <m:r>
          <m:t>c</m:t>
        </m:r>
        <m:r>
          <m:t>h</m:t>
        </m:r>
        <m:r>
          <m:t>a</m:t>
        </m:r>
        <m:r>
          <m:t>r</m:t>
        </m:r>
        <m:r>
          <m:t>g</m:t>
        </m:r>
        <m:r>
          <m:t>e</m:t>
        </m:r>
        <m:r>
          <m:t>i</m:t>
        </m:r>
        <m:r>
          <m:t>n</m:t>
        </m:r>
        <m:r>
          <m:t>1</m:t>
        </m:r>
        <m:r>
          <m:t>Q</m:t>
        </m:r>
        <m:r>
          <m:rPr>
            <m:sty m:val="p"/>
          </m:rPr>
          <m:t>,</m:t>
        </m:r>
        <m:r>
          <m:t>o</m:t>
        </m:r>
        <m:r>
          <m:t>f</m:t>
        </m:r>
        <m:r>
          <m:t>w</m:t>
        </m:r>
        <m:r>
          <m:t>h</m:t>
        </m:r>
        <m:r>
          <m:t>i</m:t>
        </m:r>
        <m:r>
          <m:t>c</m:t>
        </m:r>
        <m:r>
          <m:t>h</m:t>
        </m:r>
        <m:r>
          <m:rPr>
            <m:sty m:val="p"/>
          </m:rPr>
          <m:t>*</m:t>
        </m:r>
        <m:r>
          <m:rPr>
            <m:sty m:val="p"/>
          </m:rPr>
          <m:t>*</m:t>
        </m:r>
      </m:oMath>
      <w:r>
        <w:rPr>
          <w:b/>
          <w:bCs/>
        </w:rPr>
        <w:t xml:space="preserve">328 million was non-cash</w:t>
      </w:r>
      <w:r>
        <w:t xml:space="preserve">. Mosaic did not provide 2Q EBITDA guidance for Fertilizantes because it was assessing operating rates and nutrient availability.</w:t>
      </w:r>
    </w:p>
    <w:p>
      <w:pPr>
        <w:pStyle w:val="BodyText"/>
      </w:pPr>
      <w:r>
        <w:t xml:space="preserve">The strategic case is potentially better than the reported 1Q loss suggests:</w:t>
      </w:r>
    </w:p>
    <w:p>
      <w:pPr>
        <w:pStyle w:val="Compact"/>
        <w:numPr>
          <w:ilvl w:val="0"/>
          <w:numId w:val="1006"/>
        </w:numPr>
      </w:pPr>
      <w:r>
        <w:t xml:space="preserve">Araxá had persistently weak returns and faced imported-product competition.</w:t>
      </w:r>
    </w:p>
    <w:p>
      <w:pPr>
        <w:pStyle w:val="Compact"/>
        <w:numPr>
          <w:ilvl w:val="0"/>
          <w:numId w:val="1006"/>
        </w:numPr>
      </w:pPr>
      <w:r>
        <w:t xml:space="preserve">The idling is expected to reduce annual maintenance capex by roughly</w:t>
      </w:r>
      <w:r>
        <w:t xml:space="preserve"> </w:t>
      </w:r>
      <m:oMath>
        <m:r>
          <m:t>20</m:t>
        </m:r>
        <m:r>
          <m:t>m</m:t>
        </m:r>
        <m:r>
          <m:t>i</m:t>
        </m:r>
        <m:r>
          <m:t>l</m:t>
        </m:r>
        <m:r>
          <m:t>l</m:t>
        </m:r>
        <m:r>
          <m:t>i</m:t>
        </m:r>
        <m:r>
          <m:t>o</m:t>
        </m:r>
        <m:r>
          <m:t>n</m:t>
        </m:r>
        <m:r>
          <m:rPr>
            <m:sty m:val="p"/>
          </m:rPr>
          <m:t>–</m:t>
        </m:r>
      </m:oMath>
      <w:r>
        <w:rPr>
          <w:b/>
          <w:bCs/>
        </w:rPr>
        <w:t xml:space="preserve">30 million</w:t>
      </w:r>
      <w:r>
        <w:t xml:space="preserve">.</w:t>
      </w:r>
    </w:p>
    <w:p>
      <w:pPr>
        <w:pStyle w:val="Compact"/>
        <w:numPr>
          <w:ilvl w:val="0"/>
          <w:numId w:val="1006"/>
        </w:numPr>
      </w:pPr>
      <w:r>
        <w:t xml:space="preserve">Mosaic is pursuing strategic alternatives for Araxá and evaluating niobium-related opportunities at Patrocínio.</w:t>
      </w:r>
    </w:p>
    <w:p>
      <w:pPr>
        <w:pStyle w:val="Compact"/>
        <w:numPr>
          <w:ilvl w:val="0"/>
          <w:numId w:val="1006"/>
        </w:numPr>
      </w:pPr>
      <w:r>
        <w:t xml:space="preserve">Management continues to view Brazil as a long-term growth market, even while 2026 nutrient demand and credit availability remain challenged.</w:t>
      </w:r>
    </w:p>
    <w:p>
      <w:pPr>
        <w:pStyle w:val="FirstParagraph"/>
      </w:pPr>
      <w:r>
        <w:rPr>
          <w:b/>
          <w:bCs/>
        </w:rPr>
        <w:t xml:space="preserve">Key call question:</w:t>
      </w:r>
      <w:r>
        <w:t xml:space="preserve"> </w:t>
      </w:r>
      <w:r>
        <w:t xml:space="preserve">Are distribution margins and credit quality improving sufficiently to offset weaker industry shipment volumes and lost production?</w:t>
      </w:r>
    </w:p>
    <w:p>
      <w:r>
        <w:pict>
          <v:rect style="width:0;height:1.5pt" o:hralign="center" o:hrstd="t" o:hr="t"/>
        </w:pict>
      </w:r>
    </w:p>
    <w:bookmarkEnd w:id="15"/>
    <w:bookmarkEnd w:id="16"/>
    <w:bookmarkStart w:id="17" w:name="X759be6d98eef9788645b74ed5040c368d7a08ca"/>
    <w:p>
      <w:pPr>
        <w:pStyle w:val="Heading2"/>
      </w:pPr>
      <w:r>
        <w:t xml:space="preserve">Earnings quality: adjusted EBITDA matters more than GAAP EPS</w:t>
      </w:r>
    </w:p>
    <w:p>
      <w:pPr>
        <w:pStyle w:val="FirstParagraph"/>
      </w:pPr>
      <w:r>
        <w:t xml:space="preserve">Investors should be careful with headline EPS. In 1Q, Mosaic reported a</w:t>
      </w:r>
      <w:r>
        <w:t xml:space="preserve"> </w:t>
      </w:r>
      <w:r>
        <w:rPr>
          <w:b/>
          <w:bCs/>
        </w:rPr>
        <w:t xml:space="preserve">GAAP net loss of</w:t>
      </w:r>
      <w:r>
        <w:rPr>
          <w:b/>
          <w:bCs/>
        </w:rPr>
        <w:t xml:space="preserve"> </w:t>
      </w:r>
      <m:oMath>
        <m:r>
          <m:t>258</m:t>
        </m:r>
        <m:r>
          <m:t>m</m:t>
        </m:r>
        <m:r>
          <m:t>i</m:t>
        </m:r>
        <m:r>
          <m:t>l</m:t>
        </m:r>
        <m:r>
          <m:t>l</m:t>
        </m:r>
        <m:r>
          <m:t>i</m:t>
        </m:r>
        <m:r>
          <m:t>o</m:t>
        </m:r>
        <m:r>
          <m:t>n</m:t>
        </m:r>
        <m:r>
          <m:rPr>
            <m:sty m:val="p"/>
          </m:rPr>
          <m:t>*</m:t>
        </m:r>
        <m:r>
          <m:rPr>
            <m:sty m:val="p"/>
          </m:rPr>
          <m:t>*</m:t>
        </m:r>
        <m:r>
          <m:rPr>
            <m:sty m:val="p"/>
          </m:rPr>
          <m:t>,</m:t>
        </m:r>
        <m:r>
          <m:t>o</m:t>
        </m:r>
        <m:r>
          <m:t>r</m:t>
        </m:r>
        <m:r>
          <m:rPr>
            <m:sty m:val="p"/>
          </m:rPr>
          <m:t>*</m:t>
        </m:r>
        <m:r>
          <m:rPr>
            <m:sty m:val="p"/>
          </m:rPr>
          <m:t>*</m:t>
        </m:r>
      </m:oMath>
      <w:r>
        <w:rPr>
          <w:b/>
          <w:bCs/>
        </w:rPr>
        <w:t xml:space="preserve">(0.81) per share</w:t>
      </w:r>
      <w:r>
        <w:t xml:space="preserve">, but adjusted EBITDA was</w:t>
      </w:r>
      <w:r>
        <w:t xml:space="preserve"> </w:t>
      </w:r>
      <m:oMath>
        <m:r>
          <m:t>416</m:t>
        </m:r>
        <m:r>
          <m:t>m</m:t>
        </m:r>
        <m:r>
          <m:t>i</m:t>
        </m:r>
        <m:r>
          <m:t>l</m:t>
        </m:r>
        <m:r>
          <m:t>l</m:t>
        </m:r>
        <m:r>
          <m:t>i</m:t>
        </m:r>
        <m:r>
          <m:t>o</m:t>
        </m:r>
        <m:r>
          <m:t>n</m:t>
        </m:r>
        <m:r>
          <m:rPr>
            <m:sty m:val="p"/>
          </m:rPr>
          <m:t>*</m:t>
        </m:r>
        <m:r>
          <m:rPr>
            <m:sty m:val="p"/>
          </m:rPr>
          <m:t>*</m:t>
        </m:r>
        <m:r>
          <m:t>a</m:t>
        </m:r>
        <m:r>
          <m:t>n</m:t>
        </m:r>
        <m:r>
          <m:t>d</m:t>
        </m:r>
        <m:r>
          <m:t>a</m:t>
        </m:r>
        <m:r>
          <m:t>d</m:t>
        </m:r>
        <m:r>
          <m:t>j</m:t>
        </m:r>
        <m:r>
          <m:t>u</m:t>
        </m:r>
        <m:r>
          <m:t>s</m:t>
        </m:r>
        <m:r>
          <m:t>t</m:t>
        </m:r>
        <m:r>
          <m:t>e</m:t>
        </m:r>
        <m:r>
          <m:t>d</m:t>
        </m:r>
        <m:r>
          <m:t>E</m:t>
        </m:r>
        <m:r>
          <m:t>P</m:t>
        </m:r>
        <m:r>
          <m:t>S</m:t>
        </m:r>
        <m:r>
          <m:t>w</m:t>
        </m:r>
        <m:r>
          <m:t>a</m:t>
        </m:r>
        <m:r>
          <m:t>s</m:t>
        </m:r>
        <m:r>
          <m:rPr>
            <m:sty m:val="p"/>
          </m:rPr>
          <m:t>*</m:t>
        </m:r>
        <m:r>
          <m:rPr>
            <m:sty m:val="p"/>
          </m:rPr>
          <m:t>*</m:t>
        </m:r>
      </m:oMath>
      <w:r>
        <w:rPr>
          <w:b/>
          <w:bCs/>
        </w:rPr>
        <w:t xml:space="preserve">0.05</w:t>
      </w:r>
      <w:r>
        <w:t xml:space="preserve">. The gap reflected idling-related asset charges, restructuring actions, foreign exchange, Ma’aden mark-to-market movements, and other notable items.</w:t>
      </w:r>
    </w:p>
    <w:p>
      <w:pPr>
        <w:pStyle w:val="BodyText"/>
      </w:pPr>
      <w:r>
        <w:t xml:space="preserve">For 2Q, the main quality-of-earnings questions are:</w:t>
      </w:r>
    </w:p>
    <w:p>
      <w:pPr>
        <w:pStyle w:val="Compact"/>
        <w:numPr>
          <w:ilvl w:val="0"/>
          <w:numId w:val="1007"/>
        </w:numPr>
      </w:pPr>
      <w:r>
        <w:t xml:space="preserve">Are there additional idle-facility, severance, or accelerated-depreciation charges?</w:t>
      </w:r>
    </w:p>
    <w:p>
      <w:pPr>
        <w:pStyle w:val="Compact"/>
        <w:numPr>
          <w:ilvl w:val="0"/>
          <w:numId w:val="1007"/>
        </w:numPr>
      </w:pPr>
      <w:r>
        <w:t xml:space="preserve">Does the Ma’aden investment produce another material mark-to-market swing?</w:t>
      </w:r>
    </w:p>
    <w:p>
      <w:pPr>
        <w:pStyle w:val="Compact"/>
        <w:numPr>
          <w:ilvl w:val="0"/>
          <w:numId w:val="1007"/>
        </w:numPr>
      </w:pPr>
      <w:r>
        <w:t xml:space="preserve">What is the normalized tax rate?</w:t>
      </w:r>
    </w:p>
    <w:p>
      <w:pPr>
        <w:pStyle w:val="Compact"/>
        <w:numPr>
          <w:ilvl w:val="0"/>
          <w:numId w:val="1007"/>
        </w:numPr>
      </w:pPr>
      <w:r>
        <w:t xml:space="preserve">How much of the phosphate price benefit converted into cash rather than inventory or receivables?</w:t>
      </w:r>
    </w:p>
    <w:p>
      <w:pPr>
        <w:pStyle w:val="FirstParagraph"/>
      </w:pPr>
      <w:r>
        <w:t xml:space="preserve">The cleanest read-through will likely be</w:t>
      </w:r>
      <w:r>
        <w:t xml:space="preserve"> </w:t>
      </w:r>
      <w:r>
        <w:rPr>
          <w:b/>
          <w:bCs/>
        </w:rPr>
        <w:t xml:space="preserve">segment adjusted EBITDA, per-tonne margins, operating-rate commentary, and free-cash-flow progression</w:t>
      </w:r>
      <w:r>
        <w:t xml:space="preserve">.</w:t>
      </w:r>
    </w:p>
    <w:p>
      <w:r>
        <w:pict>
          <v:rect style="width:0;height:1.5pt" o:hralign="center" o:hrstd="t" o:hr="t"/>
        </w:pict>
      </w:r>
    </w:p>
    <w:bookmarkEnd w:id="17"/>
    <w:bookmarkStart w:id="18" w:name="X0c159999826fe4065644477f9051b7d62b4b10a"/>
    <w:p>
      <w:pPr>
        <w:pStyle w:val="Heading2"/>
      </w:pPr>
      <w:r>
        <w:t xml:space="preserve">Cash flow, capex, and liquidity: a quiet but important part of the setup</w:t>
      </w:r>
    </w:p>
    <w:p>
      <w:pPr>
        <w:pStyle w:val="FirstParagraph"/>
      </w:pPr>
      <w:r>
        <w:t xml:space="preserve">Mosaic is actively managing cash through a difficult operating environment:</w:t>
      </w:r>
    </w:p>
    <w:p>
      <w:pPr>
        <w:pStyle w:val="Compact"/>
        <w:numPr>
          <w:ilvl w:val="0"/>
          <w:numId w:val="1008"/>
        </w:numPr>
      </w:pPr>
      <w:r>
        <w:t xml:space="preserve">It reduced 2026 capital-expenditure guidance by</w:t>
      </w:r>
      <w:r>
        <w:t xml:space="preserve"> </w:t>
      </w:r>
      <w:r>
        <w:rPr>
          <w:b/>
          <w:bCs/>
        </w:rPr>
        <w:t xml:space="preserve">$250 million to $1.25 billion</w:t>
      </w:r>
      <w:r>
        <w:t xml:space="preserve">.</w:t>
      </w:r>
    </w:p>
    <w:p>
      <w:pPr>
        <w:pStyle w:val="Compact"/>
        <w:numPr>
          <w:ilvl w:val="0"/>
          <w:numId w:val="1008"/>
        </w:numPr>
      </w:pPr>
      <w:r>
        <w:t xml:space="preserve">It still expects approximately</w:t>
      </w:r>
      <w:r>
        <w:t xml:space="preserve"> </w:t>
      </w:r>
      <m:oMath>
        <m:r>
          <m:t>300</m:t>
        </m:r>
        <m:r>
          <m:t>m</m:t>
        </m:r>
        <m:r>
          <m:t>i</m:t>
        </m:r>
        <m:r>
          <m:t>l</m:t>
        </m:r>
        <m:r>
          <m:t>l</m:t>
        </m:r>
        <m:r>
          <m:t>i</m:t>
        </m:r>
        <m:r>
          <m:t>o</m:t>
        </m:r>
        <m:r>
          <m:t>n</m:t>
        </m:r>
        <m:r>
          <m:rPr>
            <m:sty m:val="p"/>
          </m:rPr>
          <m:t>–</m:t>
        </m:r>
      </m:oMath>
      <w:r>
        <w:rPr>
          <w:b/>
          <w:bCs/>
        </w:rPr>
        <w:t xml:space="preserve">500 million</w:t>
      </w:r>
      <w:r>
        <w:t xml:space="preserve"> </w:t>
      </w:r>
      <w:r>
        <w:t xml:space="preserve">of working-capital release for the year, although higher raw-material prices and curtailments create offsetting effects.</w:t>
      </w:r>
    </w:p>
    <w:p>
      <w:pPr>
        <w:pStyle w:val="Compact"/>
        <w:numPr>
          <w:ilvl w:val="0"/>
          <w:numId w:val="1008"/>
        </w:numPr>
      </w:pPr>
      <w:r>
        <w:t xml:space="preserve">1Q free cash flow was</w:t>
      </w:r>
      <w:r>
        <w:t xml:space="preserve"> </w:t>
      </w:r>
      <w:r>
        <w:rPr>
          <w:b/>
          <w:bCs/>
        </w:rPr>
        <w:t xml:space="preserve">negative</w:t>
      </w:r>
      <w:r>
        <w:rPr>
          <w:b/>
          <w:bCs/>
        </w:rPr>
        <w:t xml:space="preserve"> </w:t>
      </w:r>
      <m:oMath>
        <m:r>
          <m:t>253</m:t>
        </m:r>
        <m:r>
          <m:t>m</m:t>
        </m:r>
        <m:r>
          <m:t>i</m:t>
        </m:r>
        <m:r>
          <m:t>l</m:t>
        </m:r>
        <m:r>
          <m:t>l</m:t>
        </m:r>
        <m:r>
          <m:t>i</m:t>
        </m:r>
        <m:r>
          <m:t>o</m:t>
        </m:r>
        <m:r>
          <m:t>n</m:t>
        </m:r>
        <m:r>
          <m:rPr>
            <m:sty m:val="p"/>
          </m:rPr>
          <m:t>*</m:t>
        </m:r>
        <m:r>
          <m:rPr>
            <m:sty m:val="p"/>
          </m:rPr>
          <m:t>*</m:t>
        </m:r>
        <m:r>
          <m:rPr>
            <m:sty m:val="p"/>
          </m:rPr>
          <m:t>,</m:t>
        </m:r>
        <m:r>
          <m:t>r</m:t>
        </m:r>
        <m:r>
          <m:t>e</m:t>
        </m:r>
        <m:r>
          <m:t>f</m:t>
        </m:r>
        <m:r>
          <m:t>l</m:t>
        </m:r>
        <m:r>
          <m:t>e</m:t>
        </m:r>
        <m:r>
          <m:t>c</m:t>
        </m:r>
        <m:r>
          <m:t>t</m:t>
        </m:r>
        <m:r>
          <m:t>i</m:t>
        </m:r>
        <m:r>
          <m:t>n</m:t>
        </m:r>
        <m:r>
          <m:t>g</m:t>
        </m:r>
        <m:r>
          <m:t>s</m:t>
        </m:r>
        <m:r>
          <m:t>e</m:t>
        </m:r>
        <m:r>
          <m:t>a</m:t>
        </m:r>
        <m:r>
          <m:t>s</m:t>
        </m:r>
        <m:r>
          <m:t>o</m:t>
        </m:r>
        <m:r>
          <m:t>n</m:t>
        </m:r>
        <m:r>
          <m:t>a</m:t>
        </m:r>
        <m:r>
          <m:t>l</m:t>
        </m:r>
        <m:r>
          <m:t>w</m:t>
        </m:r>
        <m:r>
          <m:t>o</m:t>
        </m:r>
        <m:r>
          <m:t>r</m:t>
        </m:r>
        <m:r>
          <m:t>k</m:t>
        </m:r>
        <m:r>
          <m:t>i</m:t>
        </m:r>
        <m:r>
          <m:t>n</m:t>
        </m:r>
        <m:r>
          <m:t>g</m:t>
        </m:r>
        <m:r>
          <m:t>c</m:t>
        </m:r>
        <m:r>
          <m:t>a</m:t>
        </m:r>
        <m:r>
          <m:t>p</m:t>
        </m:r>
        <m:r>
          <m:t>i</m:t>
        </m:r>
        <m:r>
          <m:t>t</m:t>
        </m:r>
        <m:r>
          <m:t>a</m:t>
        </m:r>
        <m:r>
          <m:t>l</m:t>
        </m:r>
        <m:r>
          <m:t>a</m:t>
        </m:r>
        <m:r>
          <m:t>n</m:t>
        </m:r>
        <m:r>
          <m:t>d</m:t>
        </m:r>
        <m:r>
          <m:rPr>
            <m:sty m:val="p"/>
          </m:rPr>
          <m:t>*</m:t>
        </m:r>
        <m:r>
          <m:rPr>
            <m:sty m:val="p"/>
          </m:rPr>
          <m:t>*</m:t>
        </m:r>
      </m:oMath>
      <w:r>
        <w:rPr>
          <w:b/>
          <w:bCs/>
        </w:rPr>
        <w:t xml:space="preserve">357 million</w:t>
      </w:r>
      <w:r>
        <w:t xml:space="preserve"> </w:t>
      </w:r>
      <w:r>
        <w:t xml:space="preserve">of capex.</w:t>
      </w:r>
    </w:p>
    <w:p>
      <w:pPr>
        <w:pStyle w:val="Compact"/>
        <w:numPr>
          <w:ilvl w:val="0"/>
          <w:numId w:val="1008"/>
        </w:numPr>
      </w:pPr>
      <w:r>
        <w:t xml:space="preserve">At March 31, Mosaic had</w:t>
      </w:r>
      <w:r>
        <w:t xml:space="preserve"> </w:t>
      </w:r>
      <m:oMath>
        <m:r>
          <m:t>282</m:t>
        </m:r>
        <m:r>
          <m:t>m</m:t>
        </m:r>
        <m:r>
          <m:t>i</m:t>
        </m:r>
        <m:r>
          <m:t>l</m:t>
        </m:r>
        <m:r>
          <m:t>l</m:t>
        </m:r>
        <m:r>
          <m:t>i</m:t>
        </m:r>
        <m:r>
          <m:t>o</m:t>
        </m:r>
        <m:r>
          <m:t>n</m:t>
        </m:r>
        <m:r>
          <m:rPr>
            <m:sty m:val="p"/>
          </m:rPr>
          <m:t>*</m:t>
        </m:r>
        <m:r>
          <m:rPr>
            <m:sty m:val="p"/>
          </m:rPr>
          <m:t>*</m:t>
        </m:r>
        <m:r>
          <m:t>o</m:t>
        </m:r>
        <m:r>
          <m:t>f</m:t>
        </m:r>
        <m:r>
          <m:t>c</m:t>
        </m:r>
        <m:r>
          <m:t>a</m:t>
        </m:r>
        <m:r>
          <m:t>s</m:t>
        </m:r>
        <m:r>
          <m:t>h</m:t>
        </m:r>
        <m:r>
          <m:t>a</m:t>
        </m:r>
        <m:r>
          <m:t>n</m:t>
        </m:r>
        <m:r>
          <m:t>d</m:t>
        </m:r>
        <m:r>
          <m:t>r</m:t>
        </m:r>
        <m:r>
          <m:t>o</m:t>
        </m:r>
        <m:r>
          <m:t>u</m:t>
        </m:r>
        <m:r>
          <m:t>g</m:t>
        </m:r>
        <m:r>
          <m:t>h</m:t>
        </m:r>
        <m:r>
          <m:t>l</m:t>
        </m:r>
        <m:r>
          <m:t>y</m:t>
        </m:r>
        <m:r>
          <m:rPr>
            <m:sty m:val="p"/>
          </m:rPr>
          <m:t>*</m:t>
        </m:r>
        <m:r>
          <m:rPr>
            <m:sty m:val="p"/>
          </m:rPr>
          <m:t>*</m:t>
        </m:r>
      </m:oMath>
      <w:r>
        <w:rPr>
          <w:b/>
          <w:bCs/>
        </w:rPr>
        <w:t xml:space="preserve">5.5 billion</w:t>
      </w:r>
      <w:r>
        <w:t xml:space="preserve"> </w:t>
      </w:r>
      <w:r>
        <w:t xml:space="preserve">of gross debt, including short-term debt.</w:t>
      </w:r>
    </w:p>
    <w:p>
      <w:pPr>
        <w:pStyle w:val="Compact"/>
        <w:numPr>
          <w:ilvl w:val="0"/>
          <w:numId w:val="1008"/>
        </w:numPr>
      </w:pPr>
      <w:r>
        <w:t xml:space="preserve">In June, Mosaic put in place a</w:t>
      </w:r>
      <w:r>
        <w:t xml:space="preserve"> </w:t>
      </w:r>
      <w:r>
        <w:rPr>
          <w:b/>
          <w:bCs/>
        </w:rPr>
        <w:t xml:space="preserve">$1 billion delayed-draw term-loan facility</w:t>
      </w:r>
      <w:r>
        <w:t xml:space="preserve">—split between a $500 million 364-day tranche and a $500 million three-year tranche—to refinance existing indebtedness.</w:t>
      </w:r>
    </w:p>
    <w:p>
      <w:pPr>
        <w:pStyle w:val="FirstParagraph"/>
      </w:pPr>
      <w:r>
        <w:t xml:space="preserve">The lower capex plan, potential working-capital release, and debt-refinancing capacity are meaningful mitigants. Still, investors will want confirmation that phosphate curtailments are helping cash—not merely shifting cost and volume pressure into later quarters.</w:t>
      </w:r>
    </w:p>
    <w:p>
      <w:r>
        <w:pict>
          <v:rect style="width:0;height:1.5pt" o:hralign="center" o:hrstd="t" o:hr="t"/>
        </w:pict>
      </w:r>
    </w:p>
    <w:bookmarkEnd w:id="18"/>
    <w:bookmarkStart w:id="20" w:name="what-matters-most-on-the-earnings-call"/>
    <w:p>
      <w:pPr>
        <w:pStyle w:val="Heading2"/>
      </w:pPr>
      <w:r>
        <w:t xml:space="preserve">What matters most on the earnings call</w:t>
      </w:r>
    </w:p>
    <w:bookmarkStart w:id="19" w:name="highest-priority-questions"/>
    <w:p>
      <w:pPr>
        <w:pStyle w:val="Heading3"/>
      </w:pPr>
      <w:r>
        <w:t xml:space="preserve">Highest-priority questions</w:t>
      </w:r>
    </w:p>
    <w:p>
      <w:pPr>
        <w:pStyle w:val="Compact"/>
        <w:numPr>
          <w:ilvl w:val="0"/>
          <w:numId w:val="1009"/>
        </w:numPr>
      </w:pPr>
      <w:r>
        <w:rPr>
          <w:b/>
          <w:bCs/>
        </w:rPr>
        <w:t xml:space="preserve">What were actual Q2 phosphate production and sales volumes, and how much did curtailments affect them?</w:t>
      </w:r>
    </w:p>
    <w:p>
      <w:pPr>
        <w:pStyle w:val="Compact"/>
        <w:numPr>
          <w:ilvl w:val="0"/>
          <w:numId w:val="1009"/>
        </w:numPr>
      </w:pPr>
      <w:r>
        <w:rPr>
          <w:b/>
          <w:bCs/>
        </w:rPr>
        <w:t xml:space="preserve">What were realized sulfur and ammonia costs, and what is the current spot-versus-contract raw-material exposure?</w:t>
      </w:r>
    </w:p>
    <w:p>
      <w:pPr>
        <w:pStyle w:val="Compact"/>
        <w:numPr>
          <w:ilvl w:val="0"/>
          <w:numId w:val="1009"/>
        </w:numPr>
      </w:pPr>
      <w:r>
        <w:rPr>
          <w:b/>
          <w:bCs/>
        </w:rPr>
        <w:t xml:space="preserve">Has the company seen enough improvement in sulfur availability to increase U.S. phosphate operating rates?</w:t>
      </w:r>
    </w:p>
    <w:p>
      <w:pPr>
        <w:pStyle w:val="Compact"/>
        <w:numPr>
          <w:ilvl w:val="0"/>
          <w:numId w:val="1009"/>
        </w:numPr>
      </w:pPr>
      <w:r>
        <w:rPr>
          <w:b/>
          <w:bCs/>
        </w:rPr>
        <w:t xml:space="preserve">Will Mosaic reinstate full-year phosphate production guidance?</w:t>
      </w:r>
    </w:p>
    <w:p>
      <w:pPr>
        <w:pStyle w:val="Compact"/>
        <w:numPr>
          <w:ilvl w:val="0"/>
          <w:numId w:val="1009"/>
        </w:numPr>
      </w:pPr>
      <w:r>
        <w:rPr>
          <w:b/>
          <w:bCs/>
        </w:rPr>
        <w:t xml:space="preserve">Are phosphate margins in 3Q expected to improve, remain pressured, or deteriorate?</w:t>
      </w:r>
    </w:p>
    <w:p>
      <w:pPr>
        <w:pStyle w:val="Compact"/>
        <w:numPr>
          <w:ilvl w:val="0"/>
          <w:numId w:val="1009"/>
        </w:numPr>
      </w:pPr>
      <w:r>
        <w:rPr>
          <w:b/>
          <w:bCs/>
        </w:rPr>
        <w:t xml:space="preserve">Is the 9.0 million tonne potash production outlook intact, and are Esterhazy costs declining as planned?</w:t>
      </w:r>
    </w:p>
    <w:p>
      <w:pPr>
        <w:pStyle w:val="Compact"/>
        <w:numPr>
          <w:ilvl w:val="0"/>
          <w:numId w:val="1009"/>
        </w:numPr>
      </w:pPr>
      <w:r>
        <w:rPr>
          <w:b/>
          <w:bCs/>
        </w:rPr>
        <w:t xml:space="preserve">How is Brazilian farm credit evolving, and what is the expected run-rate impact from idling Araxá and Patrocínio?</w:t>
      </w:r>
    </w:p>
    <w:p>
      <w:pPr>
        <w:pStyle w:val="Compact"/>
        <w:numPr>
          <w:ilvl w:val="0"/>
          <w:numId w:val="1009"/>
        </w:numPr>
      </w:pPr>
      <w:r>
        <w:rPr>
          <w:b/>
          <w:bCs/>
        </w:rPr>
        <w:t xml:space="preserve">Does Mosaic still expect</w:t>
      </w:r>
      <w:r>
        <w:rPr>
          <w:b/>
          <w:bCs/>
        </w:rPr>
        <w:t xml:space="preserve"> </w:t>
      </w:r>
      <m:oMath>
        <m:r>
          <m:t>300</m:t>
        </m:r>
        <m:r>
          <m:t>m</m:t>
        </m:r>
        <m:r>
          <m:t>i</m:t>
        </m:r>
        <m:r>
          <m:t>l</m:t>
        </m:r>
        <m:r>
          <m:t>l</m:t>
        </m:r>
        <m:r>
          <m:t>i</m:t>
        </m:r>
        <m:r>
          <m:t>o</m:t>
        </m:r>
        <m:r>
          <m:t>n</m:t>
        </m:r>
        <m:r>
          <m:rPr>
            <m:sty m:val="p"/>
          </m:rPr>
          <m:t>–</m:t>
        </m:r>
      </m:oMath>
      <w:r>
        <w:rPr>
          <w:b/>
          <w:bCs/>
        </w:rPr>
        <w:t xml:space="preserve">500 million of working-capital release and $1.25 billion of capex for 2026?</w:t>
      </w:r>
    </w:p>
    <w:p>
      <w:r>
        <w:pict>
          <v:rect style="width:0;height:1.5pt" o:hralign="center" o:hrstd="t" o:hr="t"/>
        </w:pict>
      </w:r>
    </w:p>
    <w:bookmarkEnd w:id="19"/>
    <w:bookmarkEnd w:id="20"/>
    <w:bookmarkStart w:id="21" w:name="bottom-line"/>
    <w:p>
      <w:pPr>
        <w:pStyle w:val="Heading2"/>
      </w:pPr>
      <w:r>
        <w:t xml:space="preserve">Bottom line</w:t>
      </w:r>
    </w:p>
    <w:p>
      <w:pPr>
        <w:pStyle w:val="FirstParagraph"/>
      </w:pPr>
      <w:r>
        <w:t xml:space="preserve">The near-term MOS setup is</w:t>
      </w:r>
      <w:r>
        <w:t xml:space="preserve"> </w:t>
      </w:r>
      <w:r>
        <w:rPr>
          <w:b/>
          <w:bCs/>
        </w:rPr>
        <w:t xml:space="preserve">balanced but fragile</w:t>
      </w:r>
      <w:r>
        <w:t xml:space="preserve">. Potash provides a relatively stable earnings and cash-flow foundation, while Mosaic’s phosphate business has the potential for a substantial rebound once raw-material logistics and economics normalize. However, the timing of that normalization—and the resulting level of second-half phosphate production—is still the central uncertainty.</w:t>
      </w:r>
    </w:p>
    <w:p>
      <w:pPr>
        <w:pStyle w:val="BodyText"/>
      </w:pPr>
      <w:r>
        <w:t xml:space="preserve">A favorable report would pair solid Q2 realization against guidance with evidence that sulfur constraints are easing, potash execution is improving, and cash flow remains protected. A weak report would be one where Q2 held up only because of previously priced sales while management remains unable to articulate a viable second-half phosphate operating plan.</w:t>
      </w:r>
    </w:p>
    <w:p>
      <w:pPr>
        <w:pStyle w:val="BodyText"/>
      </w:pPr>
      <w:r>
        <w:rPr>
          <w:b/>
          <w:bCs/>
        </w:rPr>
        <w:t xml:space="preserve">The most investable positive outcome is not necessarily a large Q2 beat—it is credible evidence that Mosaic can restore phosphate utilization without sacrificing margins or balance-sheet flexibility.</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2026-08-04T02:02:32Z</dcterms:created>
  <dcterms:modified xsi:type="dcterms:W3CDTF">2026-08-04T02:02:32Z</dcterms:modified>
</cp:coreProperties>
</file>

<file path=docProps/custom.xml><?xml version="1.0" encoding="utf-8"?>
<Properties xmlns="http://schemas.openxmlformats.org/officeDocument/2006/custom-properties" xmlns:vt="http://schemas.openxmlformats.org/officeDocument/2006/docPropsVTypes"/>
</file>