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MPC (Marathon Petroleum) before writing the preview. Let me gather recent earnings materials, filings, and news.Let me read the most recent earnings materials and check recent news and stock performance.Let me get recent stock performance and check for recent news/press releases and the year-ago Q2 comparison.Let me pull the year-ago Q2 2025 results for comparison and recent sector/company news context.Let me pull the year-ago Q2 2025 key numbers for a comparison baseline.I have what I need. Here's the earnings preview.</w:t>
      </w:r>
    </w:p>
    <w:p>
      <w:r>
        <w:pict>
          <v:rect style="width:0;height:1.5pt" o:hralign="center" o:hrstd="t" o:hr="t"/>
        </w:pict>
      </w:r>
    </w:p>
    <w:bookmarkStart w:id="23" w:name="Xe403695e52a10ca8268291bfa05b33d2ec9275b"/>
    <w:p>
      <w:pPr>
        <w:pStyle w:val="Heading1"/>
      </w:pPr>
      <w:r>
        <w:t xml:space="preserve">Marathon Petroleum (MPC) — Q2 2026 Earnings Preview</w:t>
      </w:r>
    </w:p>
    <w:bookmarkStart w:id="9" w:name="Xa0933403169b4e34edb2ab6b1d3fff60f96414f"/>
    <w:p>
      <w:pPr>
        <w:pStyle w:val="Heading3"/>
      </w:pPr>
      <w:r>
        <w:t xml:space="preserve">Report date: Tuesday, August 4, 2026 (before market open) | Q2 2026 Earnings Call, 11:00 a.m. ET</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MPC heads into this print riding an extraordinary refining tape. A Middle East supply shock has pulled an estimated ~6 million bbl/d of global refining capacity offline, cracks are elevated, and MPC — sourcing crude mainly from the U.S. and Canada — is structurally positioned to convert that dislocation into cash. The stock has nearly doubled over the past year, so the bar is high and expectations are the risk, not the fundamentals.</w:t>
      </w:r>
    </w:p>
    <w:p>
      <w:r>
        <w:pict>
          <v:rect style="width:0;height:1.5pt" o:hralign="center" o:hrstd="t" o:hr="t"/>
        </w:pict>
      </w:r>
    </w:p>
    <w:bookmarkEnd w:id="10"/>
    <w:bookmarkStart w:id="11" w:name="why-this-quarter-matters"/>
    <w:p>
      <w:pPr>
        <w:pStyle w:val="Heading2"/>
      </w:pPr>
      <w:r>
        <w:t xml:space="preserve">Why this quarter matters</w:t>
      </w:r>
    </w:p>
    <w:p>
      <w:pPr>
        <w:pStyle w:val="FirstParagraph"/>
      </w:pPr>
      <w:r>
        <w:rPr>
          <w:b/>
          <w:bCs/>
        </w:rPr>
        <w:t xml:space="preserve">The macro is a windfall, and peers are confirming it.</w:t>
      </w:r>
      <w:r>
        <w:t xml:space="preserve"> </w:t>
      </w:r>
      <w:r>
        <w:t xml:space="preserve">Management framed Q1 by noting that late in the first quarter, geopolitical events tightened global markets, disrupted trade flows and drove global cracks higher, with approximately 6 million barrels per day — close to 6% of global refined products capacity — coming offline during the conflict in the Middle East. That backdrop has clearly persisted and intensified into Q2. Sector reads this week corroborate the strength: Chevron posted one of its highest quarterly profits in years, with the global shortage of oil triggered by the war in Iran driving up prices and big oil company profits. An Asian refiner peer, S-Oil, described global oil-product inventories as unusually low due to Middle East supply disruptions, shipping constraints around the Strait of Hormuz and the Red Sea, Russian refinery disruptions and export restrictions by Russia and China.</w:t>
      </w:r>
    </w:p>
    <w:p>
      <w:pPr>
        <w:pStyle w:val="BodyText"/>
      </w:pPr>
      <w:r>
        <w:rPr>
          <w:b/>
          <w:bCs/>
        </w:rPr>
        <w:t xml:space="preserve">But the macro tail risk is now two-sided.</w:t>
      </w:r>
      <w:r>
        <w:t xml:space="preserve"> </w:t>
      </w:r>
      <w:r>
        <w:t xml:space="preserve">The very same catalyst can unwind fast. Talks between the U.S. and Iran are seen as critical to ending the conflict and reviving cargo traffic through the Strait of Hormuz — a waterway through which about a fifth of all traded oil and gas passed before the war — and oil prices fell 5% on both a weekly and daily basis last week. Management flagged this exact fragility on the Q1 call, recalling that a single Iranian comment about reopening Hormuz once knocked oil down ~$17 in a day. So the report lands at a moment where results should be strong but the forward narrative is unusually sensitive to headlines.</w:t>
      </w:r>
    </w:p>
    <w:p>
      <w:r>
        <w:pict>
          <v:rect style="width:0;height:1.5pt" o:hralign="center" o:hrstd="t" o:hr="t"/>
        </w:pict>
      </w:r>
    </w:p>
    <w:bookmarkEnd w:id="11"/>
    <w:bookmarkStart w:id="12" w:name="stock-context--a-lot-is-priced-in"/>
    <w:p>
      <w:pPr>
        <w:pStyle w:val="Heading2"/>
      </w:pPr>
      <w:r>
        <w:t xml:space="preserve">Stock context — a lot is priced in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Reference point</w:t>
            </w:r>
          </w:p>
        </w:tc>
        <w:tc>
          <w:tcPr/>
          <w:p>
            <w:pPr>
              <w:pStyle w:val="Compact"/>
            </w:pPr>
            <w:r>
              <w:t xml:space="preserve">Price</w:t>
            </w:r>
          </w:p>
        </w:tc>
        <w:tc>
          <w:tcPr/>
          <w:p>
            <w:pPr>
              <w:pStyle w:val="Compact"/>
            </w:pPr>
            <w:r>
              <w:t xml:space="preserve">vs. 8/3/26 ($307.07)</w:t>
            </w:r>
          </w:p>
        </w:tc>
      </w:tr>
      <w:tr>
        <w:tc>
          <w:tcPr/>
          <w:p>
            <w:pPr>
              <w:pStyle w:val="Compact"/>
            </w:pPr>
            <w:r>
              <w:t xml:space="preserve">One year ago (8/1/25)</w:t>
            </w:r>
          </w:p>
        </w:tc>
        <w:tc>
          <w:tcPr/>
          <w:p>
            <w:pPr>
              <w:pStyle w:val="Compact"/>
            </w:pPr>
            <w:r>
              <w:t xml:space="preserve">$165.53</w:t>
            </w:r>
          </w:p>
        </w:tc>
        <w:tc>
          <w:tcPr/>
          <w:p>
            <w:pPr>
              <w:pStyle w:val="Compact"/>
            </w:pPr>
            <w:r>
              <w:rPr>
                <w:b/>
                <w:bCs/>
              </w:rPr>
              <w:t xml:space="preserve">+86%</w:t>
            </w:r>
          </w:p>
        </w:tc>
      </w:tr>
      <w:tr>
        <w:tc>
          <w:tcPr/>
          <w:p>
            <w:pPr>
              <w:pStyle w:val="Compact"/>
            </w:pPr>
            <w:r>
              <w:t xml:space="preserve">Year-end 2025 (12/31/25)</w:t>
            </w:r>
          </w:p>
        </w:tc>
        <w:tc>
          <w:tcPr/>
          <w:p>
            <w:pPr>
              <w:pStyle w:val="Compact"/>
            </w:pPr>
            <w:r>
              <w:t xml:space="preserve">$162.63</w:t>
            </w:r>
          </w:p>
        </w:tc>
        <w:tc>
          <w:tcPr/>
          <w:p>
            <w:pPr>
              <w:pStyle w:val="Compact"/>
            </w:pPr>
            <w:r>
              <w:rPr>
                <w:b/>
                <w:bCs/>
              </w:rPr>
              <w:t xml:space="preserve">+89% YTD</w:t>
            </w:r>
          </w:p>
        </w:tc>
      </w:tr>
      <w:tr>
        <w:tc>
          <w:tcPr/>
          <w:p>
            <w:pPr>
              <w:pStyle w:val="Compact"/>
            </w:pPr>
            <w:r>
              <w:t xml:space="preserve">Day of Q1 print (5/5/26)</w:t>
            </w:r>
          </w:p>
        </w:tc>
        <w:tc>
          <w:tcPr/>
          <w:p>
            <w:pPr>
              <w:pStyle w:val="Compact"/>
            </w:pPr>
            <w:r>
              <w:t xml:space="preserve">$260.51</w:t>
            </w:r>
          </w:p>
        </w:tc>
        <w:tc>
          <w:tcPr/>
          <w:p>
            <w:pPr>
              <w:pStyle w:val="Compact"/>
            </w:pPr>
            <w:r>
              <w:rPr>
                <w:b/>
                <w:bCs/>
              </w:rPr>
              <w:t xml:space="preserve">+18%</w:t>
            </w:r>
          </w:p>
        </w:tc>
      </w:tr>
      <w:tr>
        <w:tc>
          <w:tcPr/>
          <w:p>
            <w:pPr>
              <w:pStyle w:val="Compact"/>
            </w:pPr>
            <w:r>
              <w:t xml:space="preserve">52-week high (7/21/26)</w:t>
            </w:r>
          </w:p>
        </w:tc>
        <w:tc>
          <w:tcPr/>
          <w:p>
            <w:pPr>
              <w:pStyle w:val="Compact"/>
            </w:pPr>
            <w:r>
              <w:t xml:space="preserve">$319.76</w:t>
            </w:r>
          </w:p>
        </w:tc>
        <w:tc>
          <w:tcPr/>
          <w:p>
            <w:pPr>
              <w:pStyle w:val="Compact"/>
            </w:pPr>
            <w:r>
              <w:t xml:space="preserve">−4%</w:t>
            </w:r>
          </w:p>
        </w:tc>
      </w:tr>
    </w:tbl>
    <w:p>
      <w:pPr>
        <w:pStyle w:val="BodyText"/>
      </w:pPr>
      <w:r>
        <w:t xml:space="preserve">The shares ran from the low-$160s last summer to a peak near</w:t>
      </w:r>
      <w:r>
        <w:t xml:space="preserve"> </w:t>
      </w:r>
      <m:oMath>
        <m:r>
          <m:t>320</m:t>
        </m:r>
        <m:r>
          <m:t>i</m:t>
        </m:r>
        <m:r>
          <m:t>n</m:t>
        </m:r>
        <m:r>
          <m:t>m</m:t>
        </m:r>
        <m:r>
          <m:t>i</m:t>
        </m:r>
        <m:r>
          <m:t>d</m:t>
        </m:r>
        <m:r>
          <m:rPr>
            <m:sty m:val="p"/>
          </m:rPr>
          <m:t>−</m:t>
        </m:r>
        <m:r>
          <m:t>J</m:t>
        </m:r>
        <m:r>
          <m:t>u</m:t>
        </m:r>
        <m:r>
          <m:t>l</m:t>
        </m:r>
        <m:r>
          <m:t>y</m:t>
        </m:r>
        <m:r>
          <m:t>b</m:t>
        </m:r>
        <m:r>
          <m:t>e</m:t>
        </m:r>
        <m:r>
          <m:t>f</m:t>
        </m:r>
        <m:r>
          <m:t>o</m:t>
        </m:r>
        <m:r>
          <m:t>r</m:t>
        </m:r>
        <m:r>
          <m:t>e</m:t>
        </m:r>
        <m:r>
          <m:t>e</m:t>
        </m:r>
        <m:r>
          <m:t>a</m:t>
        </m:r>
        <m:r>
          <m:t>s</m:t>
        </m:r>
        <m:r>
          <m:t>i</m:t>
        </m:r>
        <m:r>
          <m:t>n</m:t>
        </m:r>
        <m:r>
          <m:t>g</m:t>
        </m:r>
        <m:r>
          <m:t>t</m:t>
        </m:r>
        <m:r>
          <m:t>o</m:t>
        </m:r>
        <m:r>
          <m:t> </m:t>
        </m:r>
      </m:oMath>
      <w:r>
        <w:t xml:space="preserve">307. Much of the "windfall" thesis is arguably in the price — which raises the importance of (a) capital-return acceleration and (b) forward guidance/commentary on margin durability.</w:t>
      </w:r>
    </w:p>
    <w:p>
      <w:r>
        <w:pict>
          <v:rect style="width:0;height:1.5pt" o:hralign="center" o:hrstd="t" o:hr="t"/>
        </w:pict>
      </w:r>
    </w:p>
    <w:bookmarkEnd w:id="12"/>
    <w:bookmarkStart w:id="20" w:name="what-to-watch-on-the-print"/>
    <w:p>
      <w:pPr>
        <w:pStyle w:val="Heading2"/>
      </w:pPr>
      <w:r>
        <w:t xml:space="preserve">What to watch on the print</w:t>
      </w:r>
    </w:p>
    <w:bookmarkStart w:id="13" w:name="X326a44aec40bc28da48d429eb16e1e6061d035d"/>
    <w:p>
      <w:pPr>
        <w:pStyle w:val="Heading3"/>
      </w:pPr>
      <w:r>
        <w:t xml:space="preserve">1. Refining margin &amp; the "capture" debate</w:t>
      </w:r>
    </w:p>
    <w:p>
      <w:pPr>
        <w:pStyle w:val="FirstParagraph"/>
      </w:pPr>
      <w:r>
        <w:t xml:space="preserve">This is the crux. The bear case is that capture erodes as headline cracks spike. MPC pushed back hard in Q1: first-quarter capture was 99%, and would have exceeded 100% had it not been for the timing impact of derivatives and headwinds on secondary products. For comparison, in the year-ago Q2 2025 MPC ran 97% utilization and 105% margin capture. Watch whether Q2 2026 capture holds ≥100% into a far stronger crack environment — that's the number that validates or challenges the whole trade.</w:t>
      </w:r>
    </w:p>
    <w:bookmarkEnd w:id="13"/>
    <w:bookmarkStart w:id="14" w:name="Xfedbdd9d2335469f821b49834a96694cfc1e94d"/>
    <w:p>
      <w:pPr>
        <w:pStyle w:val="Heading3"/>
      </w:pPr>
      <w:r>
        <w:t xml:space="preserve">2. The derivative "unwind" — a mechanical tailwind</w:t>
      </w:r>
    </w:p>
    <w:p>
      <w:pPr>
        <w:pStyle w:val="FirstParagraph"/>
      </w:pPr>
      <w:r>
        <w:t xml:space="preserve">A specific, quantifiable item to model. In Q1, MPC had about $500 million of unrealized losses on its hedging program, with the impact on margin calls to working capital about $340 million overall use of cash. Management said this was purely a timing effect of extreme commodity volatility that is expected to unwind in the second quarter as the physical barrels come through. If it plays out, Q2 gets a reported capture/EBITDA tailwind that Q1 gave away.</w:t>
      </w:r>
    </w:p>
    <w:bookmarkEnd w:id="14"/>
    <w:bookmarkStart w:id="15" w:name="X2cccf9b1b4728f9164e39281fce2d705b537765"/>
    <w:p>
      <w:pPr>
        <w:pStyle w:val="Heading3"/>
      </w:pPr>
      <w:r>
        <w:t xml:space="preserve">3. Volumes &amp; cost guidance (the Q2 outlook management already gave)</w:t>
      </w:r>
    </w:p>
    <w:p>
      <w:pPr>
        <w:pStyle w:val="FirstParagraph"/>
      </w:pPr>
      <w:r>
        <w:t xml:space="preserve">Management guided Q2 to a much higher run rate off a front-loaded turnaround schedule — roughly 40% of full-year planned maintenance was completed in Q1, setting up strong Q2 availability. The company's own Q2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 2026 guidance item</w:t>
            </w:r>
          </w:p>
        </w:tc>
        <w:tc>
          <w:tcPr/>
          <w:p>
            <w:pPr>
              <w:pStyle w:val="Compact"/>
            </w:pPr>
            <w:r>
              <w:t xml:space="preserve">Figure</w:t>
            </w:r>
          </w:p>
        </w:tc>
      </w:tr>
      <w:tr>
        <w:tc>
          <w:tcPr/>
          <w:p>
            <w:pPr>
              <w:pStyle w:val="Compact"/>
            </w:pPr>
            <w:r>
              <w:t xml:space="preserve">Crude utilization</w:t>
            </w:r>
          </w:p>
        </w:tc>
        <w:tc>
          <w:tcPr/>
          <w:p>
            <w:pPr>
              <w:pStyle w:val="Compact"/>
            </w:pPr>
            <w:r>
              <w:rPr>
                <w:b/>
                <w:bCs/>
              </w:rPr>
              <w:t xml:space="preserve">~94%</w:t>
            </w:r>
            <w:r>
              <w:t xml:space="preserve"> </w:t>
            </w:r>
            <w:r>
              <w:t xml:space="preserve">(vs. 89% in Q1)</w:t>
            </w:r>
          </w:p>
        </w:tc>
      </w:tr>
      <w:tr>
        <w:tc>
          <w:tcPr/>
          <w:p>
            <w:pPr>
              <w:pStyle w:val="Compact"/>
            </w:pPr>
            <w:r>
              <w:t xml:space="preserve">Total throughput</w:t>
            </w:r>
          </w:p>
        </w:tc>
        <w:tc>
          <w:tcPr/>
          <w:p>
            <w:pPr>
              <w:pStyle w:val="Compact"/>
            </w:pPr>
            <w:r>
              <w:t xml:space="preserve">2,990 mbpd (2,795 crude)</w:t>
            </w:r>
          </w:p>
        </w:tc>
      </w:tr>
      <w:tr>
        <w:tc>
          <w:tcPr/>
          <w:p>
            <w:pPr>
              <w:pStyle w:val="Compact"/>
            </w:pPr>
            <w:r>
              <w:t xml:space="preserve">Refining operating cost</w:t>
            </w:r>
          </w:p>
        </w:tc>
        <w:tc>
          <w:tcPr/>
          <w:p>
            <w:pPr>
              <w:pStyle w:val="Compact"/>
            </w:pPr>
            <w:r>
              <w:t xml:space="preserve">$5.65/bbl</w:t>
            </w:r>
          </w:p>
        </w:tc>
      </w:tr>
      <w:tr>
        <w:tc>
          <w:tcPr/>
          <w:p>
            <w:pPr>
              <w:pStyle w:val="Compact"/>
            </w:pPr>
            <w:r>
              <w:t xml:space="preserve">Distribution costs</w:t>
            </w:r>
          </w:p>
        </w:tc>
        <w:tc>
          <w:tcPr/>
          <w:p>
            <w:pPr>
              <w:pStyle w:val="Compact"/>
            </w:pPr>
            <w:r>
              <w:t xml:space="preserve">$1,625M</w:t>
            </w:r>
          </w:p>
        </w:tc>
      </w:tr>
      <w:tr>
        <w:tc>
          <w:tcPr/>
          <w:p>
            <w:pPr>
              <w:pStyle w:val="Compact"/>
            </w:pPr>
            <w:r>
              <w:t xml:space="preserve">Planned turnaround costs</w:t>
            </w:r>
          </w:p>
        </w:tc>
        <w:tc>
          <w:tcPr/>
          <w:p>
            <w:pPr>
              <w:pStyle w:val="Compact"/>
            </w:pPr>
            <w:r>
              <w:t xml:space="preserve">$300M (vs. $530M in Q1)</w:t>
            </w:r>
          </w:p>
        </w:tc>
      </w:tr>
      <w:tr>
        <w:tc>
          <w:tcPr/>
          <w:p>
            <w:pPr>
              <w:pStyle w:val="Compact"/>
            </w:pPr>
            <w:r>
              <w:t xml:space="preserve">D&amp;A</w:t>
            </w:r>
          </w:p>
        </w:tc>
        <w:tc>
          <w:tcPr/>
          <w:p>
            <w:pPr>
              <w:pStyle w:val="Compact"/>
            </w:pPr>
            <w:r>
              <w:t xml:space="preserve">$390M</w:t>
            </w:r>
          </w:p>
        </w:tc>
      </w:tr>
      <w:tr>
        <w:tc>
          <w:tcPr/>
          <w:p>
            <w:pPr>
              <w:pStyle w:val="Compact"/>
            </w:pPr>
            <w:r>
              <w:t xml:space="preserve">Full-year turnaround expense</w:t>
            </w:r>
          </w:p>
        </w:tc>
        <w:tc>
          <w:tcPr/>
          <w:p>
            <w:pPr>
              <w:pStyle w:val="Compact"/>
            </w:pPr>
            <w:r>
              <w:t xml:space="preserve">Unchanged at $1.35B</w:t>
            </w:r>
          </w:p>
        </w:tc>
      </w:tr>
    </w:tbl>
    <w:p>
      <w:pPr>
        <w:pStyle w:val="BodyText"/>
      </w:pPr>
      <w:r>
        <w:t xml:space="preserve">Higher utilization + lower turnaround drag + elevated cracks = a sharp sequential earnings step-up should be the base case. For reference, Q1 2026 adjusted EPS was $1.65 (adjusted EBITDA $2.8B); year-ago Q2 2025 was $3.96 EPS on $3.3B adjusted EBITDA.</w:t>
      </w:r>
    </w:p>
    <w:bookmarkEnd w:id="15"/>
    <w:bookmarkStart w:id="16" w:name="X1b761d5fa130473024bef316c8709dc9ea62e38"/>
    <w:p>
      <w:pPr>
        <w:pStyle w:val="Heading3"/>
      </w:pPr>
      <w:r>
        <w:t xml:space="preserve">4. Regional mix — West Coast and Mid-Con are the swing factors</w:t>
      </w:r>
    </w:p>
    <w:p>
      <w:pPr>
        <w:pStyle w:val="FirstParagraph"/>
      </w:pPr>
      <w:r>
        <w:t xml:space="preserve">Q1 already showed the shape: West Coast delivered an incremental $416 million of adjusted EBITDA on a strong market and minimal turnaround, running at 92% utilization. On the Q1 call, management pointed to the West Coast being structurally short, with import volumes from Asia significantly reduced due to global refining issues, and called the Mid-Con "absolutely the best market we have right now," with extreme tightness on gas and diesel inventories. The regional EBITDA/bbl disclosures (Gulf Coast $6.20, Mid-Con $1.50, West Coast $11.61 in Q1) are worth tracking — management tied ~20% of executive cash bonus to being most competitive in each region.</w:t>
      </w:r>
    </w:p>
    <w:bookmarkEnd w:id="16"/>
    <w:bookmarkStart w:id="17" w:name="X9b313f47c078366bc66e036088adc83f628b6dd"/>
    <w:p>
      <w:pPr>
        <w:pStyle w:val="Heading3"/>
      </w:pPr>
      <w:r>
        <w:t xml:space="preserve">5. Capital returns — pace is the key question</w:t>
      </w:r>
    </w:p>
    <w:p>
      <w:pPr>
        <w:pStyle w:val="FirstParagraph"/>
      </w:pPr>
      <w:r>
        <w:t xml:space="preserve">MPC entered the quarter with firepower: the Board approved an incremental $5 billion repurchase authorization, which would have brought total availability to $8.6 billion as of March 31. But Q1 buybacks were relatively modest — over $1 billion returned including $750 million of repurchases, a 62% payout. The investor debate (raised by Wolfe's Doug Leggate on the Q1 call) is whether MPC accelerates buybacks to capture the windfall — or risks buying near a cyclical/geopolitical peak. Watch the Q2 repurchase dollar figure closely; an acceleration would be the most direct way to reward the elevated share price.</w:t>
      </w:r>
    </w:p>
    <w:bookmarkEnd w:id="17"/>
    <w:bookmarkStart w:id="18" w:name="Xa21fdecfdb6473a0df4a48ada283d05f73a9cd5"/>
    <w:p>
      <w:pPr>
        <w:pStyle w:val="Heading3"/>
      </w:pPr>
      <w:r>
        <w:t xml:space="preserve">6. MPLX — the durable cash engine turning on</w:t>
      </w:r>
    </w:p>
    <w:p>
      <w:pPr>
        <w:pStyle w:val="FirstParagraph"/>
      </w:pPr>
      <w:r>
        <w:t xml:space="preserve">The midstream story is one of growth capital converting to cash in 2H26. Management reiterated MPLX expects to deliver 12.5% distribution growth for the next two years, underpinned by mid-single-digit adjusted EBITDA growth. Several projects are scheduled to start up around now — Harmon Creek III (300 MMcf/d) targeted 3Q26, Bay Runner pipeline 3Q26, Titan complex and BANGL expansion 4Q26. Note Midstream EBITDA actually dipped in Q1 (down $122 million, driven by derivative losses, absence of a prior-year non-recurring benefit, and asset divestitures), so look for stabilization/reacceleration.</w:t>
      </w:r>
    </w:p>
    <w:bookmarkEnd w:id="18"/>
    <w:bookmarkStart w:id="19" w:name="X418f24c5568c0ad4821ec01c7363e1bb3b71101"/>
    <w:p>
      <w:pPr>
        <w:pStyle w:val="Heading3"/>
      </w:pPr>
      <w:r>
        <w:t xml:space="preserve">7. Renewable Diesel — quietly turning to a tailwind</w:t>
      </w:r>
    </w:p>
    <w:p>
      <w:pPr>
        <w:pStyle w:val="FirstParagraph"/>
      </w:pPr>
      <w:r>
        <w:t xml:space="preserve">Small segment, improving optics. Q1 swung positive to $38 million of adjusted EBITDA on a stronger margin environment and recognition of clean fuel production (45Z) tax credits, with management guiding Martinez to low-90s% utilization in Q2 post-turnaround. Rising RINs/D4 values could make this a modest tailwind rather than a drag.</w:t>
      </w:r>
    </w:p>
    <w:p>
      <w:r>
        <w:pict>
          <v:rect style="width:0;height:1.5pt" o:hralign="center" o:hrstd="t" o:hr="t"/>
        </w:pict>
      </w:r>
    </w:p>
    <w:bookmarkEnd w:id="19"/>
    <w:bookmarkEnd w:id="20"/>
    <w:bookmarkStart w:id="21" w:name="key-debates--risks-into-the-number"/>
    <w:p>
      <w:pPr>
        <w:pStyle w:val="Heading2"/>
      </w:pPr>
      <w:r>
        <w:t xml:space="preserve">Key debates / risks into the number</w:t>
      </w:r>
    </w:p>
    <w:p>
      <w:pPr>
        <w:pStyle w:val="Compact"/>
        <w:numPr>
          <w:ilvl w:val="0"/>
          <w:numId w:val="1001"/>
        </w:numPr>
      </w:pPr>
      <w:r>
        <w:rPr>
          <w:b/>
          <w:bCs/>
        </w:rPr>
        <w:t xml:space="preserve">Sustainability of cracks:</w:t>
      </w:r>
      <w:r>
        <w:t xml:space="preserve"> </w:t>
      </w:r>
      <w:r>
        <w:t xml:space="preserve">A Hormuz reopening or ceasefire could compress margins quickly; last week's 5% oil drop is a warning shot.</w:t>
      </w:r>
    </w:p>
    <w:p>
      <w:pPr>
        <w:pStyle w:val="Compact"/>
        <w:numPr>
          <w:ilvl w:val="0"/>
          <w:numId w:val="1001"/>
        </w:numPr>
      </w:pPr>
      <w:r>
        <w:rPr>
          <w:b/>
          <w:bCs/>
        </w:rPr>
        <w:t xml:space="preserve">Secondary products &amp; backwardation:</w:t>
      </w:r>
      <w:r>
        <w:t xml:space="preserve"> </w:t>
      </w:r>
      <w:r>
        <w:t xml:space="preserve">Management flagged secondary-product headwinds and a steep backwardated curve requiring tight inventory discipline — both can dent capture in a volatile tape.</w:t>
      </w:r>
    </w:p>
    <w:p>
      <w:pPr>
        <w:pStyle w:val="Compact"/>
        <w:numPr>
          <w:ilvl w:val="0"/>
          <w:numId w:val="1001"/>
        </w:numPr>
      </w:pPr>
      <w:r>
        <w:rPr>
          <w:b/>
          <w:bCs/>
        </w:rPr>
        <w:t xml:space="preserve">Elevated expectations:</w:t>
      </w:r>
      <w:r>
        <w:t xml:space="preserve"> </w:t>
      </w:r>
      <w:r>
        <w:t xml:space="preserve">With the stock up ~86% y/y and near all-time highs, a "good but not great" print or cautious forward tone could trigger profit-taking.</w:t>
      </w:r>
    </w:p>
    <w:p>
      <w:pPr>
        <w:pStyle w:val="Compact"/>
        <w:numPr>
          <w:ilvl w:val="0"/>
          <w:numId w:val="1001"/>
        </w:numPr>
      </w:pPr>
      <w:r>
        <w:rPr>
          <w:b/>
          <w:bCs/>
        </w:rPr>
        <w:t xml:space="preserve">Political/windfall-tax noise:</w:t>
      </w:r>
      <w:r>
        <w:t xml:space="preserve"> </w:t>
      </w:r>
      <w:r>
        <w:t xml:space="preserve">With gasoline above $4/gallon and the White House publicly pressuring oil CEOs, headline/regulatory risk (e.g., California penalties, windfall-tax rhetoric) is worth monitoring.</w:t>
      </w:r>
    </w:p>
    <w:p>
      <w:r>
        <w:pict>
          <v:rect style="width:0;height:1.5pt" o:hralign="center" o:hrstd="t" o:hr="t"/>
        </w:pict>
      </w:r>
    </w:p>
    <w:bookmarkEnd w:id="21"/>
    <w:bookmarkStart w:id="22" w:name="bottom-line"/>
    <w:p>
      <w:pPr>
        <w:pStyle w:val="Heading2"/>
      </w:pPr>
      <w:r>
        <w:t xml:space="preserve">Bottom line</w:t>
      </w:r>
    </w:p>
    <w:p>
      <w:pPr>
        <w:pStyle w:val="FirstParagraph"/>
      </w:pPr>
      <w:r>
        <w:t xml:space="preserve">The fundamental setup points to a strong quarter: near-full utilization (~94% guide), a lighter turnaround load, elevated and broad-based cracks, a favorable West Coast/Mid-Con mix, and a likely reversal of the Q1 derivative drag. Sequentially, earnings should step up meaningfully from Q1's</w:t>
      </w:r>
      <w:r>
        <w:t xml:space="preserve"> </w:t>
      </w:r>
      <m:oMath>
        <m:r>
          <m:t>1.65</m:t>
        </m:r>
        <m:r>
          <m:rPr>
            <m:sty m:val="p"/>
          </m:rPr>
          <m:t>.</m:t>
        </m:r>
        <m:r>
          <m:t>T</m:t>
        </m:r>
        <m:r>
          <m:t>h</m:t>
        </m:r>
        <m:r>
          <m:t>e</m:t>
        </m:r>
        <m:r>
          <m:t>r</m:t>
        </m:r>
        <m:r>
          <m:t>e</m:t>
        </m:r>
        <m:r>
          <m:t>a</m:t>
        </m:r>
        <m:r>
          <m:t>l</m:t>
        </m:r>
        <m:r>
          <m:t>q</m:t>
        </m:r>
        <m:r>
          <m:t>u</m:t>
        </m:r>
        <m:r>
          <m:t>e</m:t>
        </m:r>
        <m:r>
          <m:t>s</m:t>
        </m:r>
        <m:r>
          <m:t>t</m:t>
        </m:r>
        <m:r>
          <m:t>i</m:t>
        </m:r>
        <m:r>
          <m:t>o</m:t>
        </m:r>
        <m:r>
          <m:t>n</m:t>
        </m:r>
        <m:r>
          <m:t>s</m:t>
        </m:r>
        <m:r>
          <m:t>a</m:t>
        </m:r>
        <m:r>
          <m:t>r</m:t>
        </m:r>
        <m:r>
          <m:t>e</m:t>
        </m:r>
        <m:r>
          <m:t>f</m:t>
        </m:r>
        <m:r>
          <m:t>o</m:t>
        </m:r>
        <m:r>
          <m:t>r</m:t>
        </m:r>
        <m:r>
          <m:t>w</m:t>
        </m:r>
        <m:r>
          <m:t>a</m:t>
        </m:r>
        <m:r>
          <m:t>r</m:t>
        </m:r>
        <m:r>
          <m:t>d</m:t>
        </m:r>
        <m:r>
          <m:rPr>
            <m:sty m:val="p"/>
          </m:rPr>
          <m:t>−</m:t>
        </m:r>
        <m:r>
          <m:t>l</m:t>
        </m:r>
        <m:r>
          <m:t>o</m:t>
        </m:r>
        <m:r>
          <m:t>o</m:t>
        </m:r>
        <m:r>
          <m:t>k</m:t>
        </m:r>
        <m:r>
          <m:t>i</m:t>
        </m:r>
        <m:r>
          <m:t>n</m:t>
        </m:r>
        <m:r>
          <m:t>g</m:t>
        </m:r>
        <m:r>
          <m:rPr>
            <m:sty m:val="p"/>
          </m:rPr>
          <m:t>:</m:t>
        </m:r>
        <m:r>
          <m:rPr>
            <m:sty m:val="p"/>
          </m:rPr>
          <m:t>*</m:t>
        </m:r>
        <m:r>
          <m:rPr>
            <m:sty m:val="p"/>
          </m:rPr>
          <m:t>*</m:t>
        </m:r>
        <m:r>
          <m:rPr>
            <m:sty m:val="p"/>
          </m:rPr>
          <m:t>(</m:t>
        </m:r>
        <m:r>
          <m:t>1</m:t>
        </m:r>
        <m:r>
          <m:rPr>
            <m:sty m:val="p"/>
          </m:rPr>
          <m:t>)</m:t>
        </m:r>
        <m:r>
          <m:t>d</m:t>
        </m:r>
        <m:r>
          <m:t>o</m:t>
        </m:r>
        <m:r>
          <m:t>e</m:t>
        </m:r>
        <m:r>
          <m:t>s</m:t>
        </m:r>
        <m:r>
          <m:t>c</m:t>
        </m:r>
        <m:r>
          <m:t>a</m:t>
        </m:r>
        <m:r>
          <m:t>p</m:t>
        </m:r>
        <m:r>
          <m:t>t</m:t>
        </m:r>
        <m:r>
          <m:t>u</m:t>
        </m:r>
        <m:r>
          <m:t>r</m:t>
        </m:r>
        <m:r>
          <m:t>e</m:t>
        </m:r>
        <m:r>
          <m:t>h</m:t>
        </m:r>
        <m:r>
          <m:t>o</m:t>
        </m:r>
        <m:r>
          <m:t>l</m:t>
        </m:r>
        <m:r>
          <m:t>d</m:t>
        </m:r>
        <m:r>
          <m:rPr>
            <m:sty m:val="p"/>
          </m:rPr>
          <m:t>≥</m:t>
        </m:r>
        <m:r>
          <m:t>100</m:t>
        </m:r>
      </m:oMath>
      <w:r>
        <w:t xml:space="preserve">8.6B buyback authorization into the windfall, and (3) what does management signal about margin durability if the Iran conflict de-escalates.** With the stock having nearly doubled, the report is less about whether the quarter is good and more about whether guidance and capital-return pace can justify a valuation that already reflects a lot of the good news.</w:t>
      </w:r>
    </w:p>
    <w:p>
      <w:pPr>
        <w:pStyle w:val="BodyText"/>
      </w:pPr>
      <w:r>
        <w:rPr>
          <w:i/>
          <w:iCs/>
        </w:rPr>
        <w:t xml:space="preserve">Preview based on MPC's Q1 2026 earnings call and release, Q2 2025 comparison, current market/sector news, and share-price data. It is informational, not investment advice.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2026-08-04T01:08:31Z</dcterms:created>
  <dcterms:modified xsi:type="dcterms:W3CDTF">2026-08-04T01:08:31Z</dcterms:modified>
</cp:coreProperties>
</file>

<file path=docProps/custom.xml><?xml version="1.0" encoding="utf-8"?>
<Properties xmlns="http://schemas.openxmlformats.org/officeDocument/2006/custom-properties" xmlns:vt="http://schemas.openxmlformats.org/officeDocument/2006/docPropsVTypes"/>
</file>