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e403695e52a10ca8268291bfa05b33d2ec9275b"/>
    <w:p>
      <w:pPr>
        <w:pStyle w:val="Heading1"/>
      </w:pPr>
      <w:r>
        <w:t xml:space="preserve">Marathon Petroleum (MPC) — Q2 2026 Earnings Preview</w:t>
      </w:r>
    </w:p>
    <w:p>
      <w:pPr>
        <w:pStyle w:val="FirstParagraph"/>
      </w:pPr>
      <w:r>
        <w:rPr>
          <w:b/>
          <w:bCs/>
        </w:rPr>
        <w:t xml:space="preserve">Report Date:</w:t>
      </w:r>
      <w:r>
        <w:t xml:space="preserve"> </w:t>
      </w:r>
      <w:r>
        <w:t xml:space="preserve">Tuesday, August 4, 2026, before market open |</w:t>
      </w:r>
      <w:r>
        <w:t xml:space="preserve"> </w:t>
      </w:r>
      <w:r>
        <w:rPr>
          <w:b/>
          <w:bCs/>
        </w:rPr>
        <w:t xml:space="preserve">Event:</w:t>
      </w:r>
      <w:r>
        <w:t xml:space="preserve"> </w:t>
      </w:r>
      <w:r>
        <w:t xml:space="preserve">2026Q2 Earnings Call (11:00 a.m. ET)</w:t>
      </w:r>
    </w:p>
    <w:p>
      <w:r>
        <w:pict>
          <v:rect style="width:0;height:1.5pt" o:hralign="center" o:hrstd="t" o:hr="t"/>
        </w:pict>
      </w:r>
    </w:p>
    <w:bookmarkStart w:id="9" w:name="X958a964c975e15987b800b4188b9cfcb80f9e0b"/>
    <w:p>
      <w:pPr>
        <w:pStyle w:val="Heading2"/>
      </w:pPr>
      <w:r>
        <w:t xml:space="preserve">1. Setup: A Stock Priced for a Blowout</w:t>
      </w:r>
    </w:p>
    <w:p>
      <w:pPr>
        <w:pStyle w:val="FirstParagraph"/>
      </w:pPr>
      <w:r>
        <w:t xml:space="preserve">MPC shares have been on an extraordinary run heading into this print. The stock closed at</w:t>
      </w:r>
      <w:r>
        <w:t xml:space="preserve"> </w:t>
      </w:r>
      <m:oMath>
        <m:r>
          <m:t>307.07</m:t>
        </m:r>
        <m:r>
          <m:t>o</m:t>
        </m:r>
        <m:r>
          <m:t>n</m:t>
        </m:r>
        <m:r>
          <m:t>A</m:t>
        </m:r>
        <m:r>
          <m:t>u</m:t>
        </m:r>
        <m:r>
          <m:t>g</m:t>
        </m:r>
        <m:r>
          <m:t>u</m:t>
        </m:r>
        <m:r>
          <m:t>s</m:t>
        </m:r>
        <m:r>
          <m:t>t</m:t>
        </m:r>
        <m:r>
          <m:t>3</m:t>
        </m:r>
        <m:r>
          <m:rPr>
            <m:sty m:val="p"/>
          </m:rPr>
          <m:t>*</m:t>
        </m:r>
        <m:r>
          <m:rPr>
            <m:sty m:val="p"/>
          </m:rPr>
          <m:t>*</m:t>
        </m:r>
        <m:r>
          <m:rPr>
            <m:sty m:val="p"/>
          </m:rPr>
          <m:t>,</m:t>
        </m:r>
        <m:r>
          <m:t>u</m:t>
        </m:r>
        <m:r>
          <m:t>p</m:t>
        </m:r>
        <m:r>
          <m:t>f</m:t>
        </m:r>
        <m:r>
          <m:t>r</m:t>
        </m:r>
        <m:r>
          <m:t>o</m:t>
        </m:r>
        <m:r>
          <m:t>m</m:t>
        </m:r>
        <m:r>
          <m:t>r</m:t>
        </m:r>
        <m:r>
          <m:t>o</m:t>
        </m:r>
        <m:r>
          <m:t>u</m:t>
        </m:r>
        <m:r>
          <m:t>g</m:t>
        </m:r>
        <m:r>
          <m:t>h</m:t>
        </m:r>
        <m:r>
          <m:t>l</m:t>
        </m:r>
        <m:r>
          <m:t>y</m:t>
        </m:r>
        <m:r>
          <m:rPr>
            <m:sty m:val="p"/>
          </m:rPr>
          <m:t>*</m:t>
        </m:r>
        <m:r>
          <m:rPr>
            <m:sty m:val="p"/>
          </m:rPr>
          <m:t>*</m:t>
        </m:r>
      </m:oMath>
      <w:r>
        <w:rPr>
          <w:b/>
          <w:bCs/>
        </w:rPr>
        <w:t xml:space="preserve">246</w:t>
      </w:r>
      <w:r>
        <w:t xml:space="preserve"> </w:t>
      </w:r>
      <w:r>
        <w:t xml:space="preserve">in early May — a run of nearly 30% since the Q1 report, and part of a 52-week advance that has</w:t>
      </w:r>
      <w:r>
        <w:t xml:space="preserve"> </w:t>
      </w:r>
      <w:r>
        <w:rPr>
          <w:b/>
          <w:bCs/>
        </w:rPr>
        <w:t xml:space="preserve">"climbed 72.8% ... significantly outperforming both the S&amp;P 500 Index ... and the State Street Energy Select Sector SPDR ETF"</w:t>
      </w:r>
      <w:r>
        <w:t xml:space="preserve">. The rally has been driven almost entirely by the macro backdrop rather than company-specific news: a Middle East conflict that has disrupted global refined-product supply and pushed U.S. crack spreads to some of their widest levels in years.</w:t>
      </w:r>
    </w:p>
    <w:p>
      <w:pPr>
        <w:pStyle w:val="BodyText"/>
      </w:pPr>
      <w:r>
        <w:t xml:space="preserve">Importantly, the stock pulled back modestly into the print — from an intraday high near $319 on July 21 to $307 on August 3 — as oil prices fell on reports of active U.S.-Iran talks aimed at ending the conflict and reopening trade through the</w:t>
      </w:r>
      <w:r>
        <w:t xml:space="preserve"> </w:t>
      </w:r>
      <w:r>
        <w:rPr>
          <w:b/>
          <w:bCs/>
        </w:rPr>
        <w:t xml:space="preserve">Strait of Hormuz</w:t>
      </w:r>
      <w:r>
        <w:t xml:space="preserve">, a waterway through which roughly a fifth of global oil and gas normally flows. That de-escalation risk is the single biggest swing factor for how the market reacts to tomorrow's numbers, even if the print itself is strong.</w:t>
      </w:r>
    </w:p>
    <w:bookmarkEnd w:id="9"/>
    <w:bookmarkStart w:id="10" w:name="Xdc257ad3069e9124bc5fc8003e608f2a7b149ba"/>
    <w:p>
      <w:pPr>
        <w:pStyle w:val="Heading2"/>
      </w:pPr>
      <w:r>
        <w:t xml:space="preserve">2. What Happened Last Quarter (Q1 2026 Recap)</w:t>
      </w:r>
    </w:p>
    <w:p>
      <w:pPr>
        <w:pStyle w:val="FirstParagraph"/>
      </w:pPr>
      <w:r>
        <w:t xml:space="preserve">Q1 set an unusually high bar for operational execution:</w:t>
      </w:r>
    </w:p>
    <w:p>
      <w:pPr>
        <w:pStyle w:val="Compact"/>
        <w:numPr>
          <w:ilvl w:val="0"/>
          <w:numId w:val="1001"/>
        </w:numPr>
      </w:pPr>
      <w:r>
        <w:t xml:space="preserve">Adjusted EPS of $1.65 and adjusted EBITDA of $2.8 billion, with R&amp;M segment EBITDA of $5.37/bbl, more than doubling year-over-year margins as refineries ran at 89% utilization while completing ~40% of full-year turnaround activity.</w:t>
      </w:r>
    </w:p>
    <w:p>
      <w:pPr>
        <w:pStyle w:val="Compact"/>
        <w:numPr>
          <w:ilvl w:val="0"/>
          <w:numId w:val="1001"/>
        </w:numPr>
      </w:pPr>
      <w:r>
        <w:t xml:space="preserve">Management pulled forward turnarounds specifically to be ready for what it called a "constructive macro backdrop," citing an estimated 6 million bpd (~6% of global refined product capacity) offline due to the Middle East conflict.</w:t>
      </w:r>
    </w:p>
    <w:p>
      <w:pPr>
        <w:pStyle w:val="Compact"/>
        <w:numPr>
          <w:ilvl w:val="0"/>
          <w:numId w:val="1001"/>
        </w:numPr>
      </w:pPr>
      <w:r>
        <w:t xml:space="preserve">Capital returns: over $1 billion returned to shareholders (including</w:t>
      </w:r>
      <w:r>
        <w:t xml:space="preserve"> </w:t>
      </w:r>
      <m:oMath>
        <m:r>
          <m:t>750</m:t>
        </m:r>
        <m:r>
          <m:t>m</m:t>
        </m:r>
        <m:r>
          <m:t>i</m:t>
        </m:r>
        <m:r>
          <m:t>l</m:t>
        </m:r>
        <m:r>
          <m:t>l</m:t>
        </m:r>
        <m:r>
          <m:t>i</m:t>
        </m:r>
        <m:r>
          <m:t>o</m:t>
        </m:r>
        <m:r>
          <m:t>n</m:t>
        </m:r>
        <m:r>
          <m:t>o</m:t>
        </m:r>
        <m:r>
          <m:t>f</m:t>
        </m:r>
        <m:r>
          <m:t>b</m:t>
        </m:r>
        <m:r>
          <m:t>u</m:t>
        </m:r>
        <m:r>
          <m:t>y</m:t>
        </m:r>
        <m:r>
          <m:t>b</m:t>
        </m:r>
        <m:r>
          <m:t>a</m:t>
        </m:r>
        <m:r>
          <m:t>c</m:t>
        </m:r>
        <m:r>
          <m:t>k</m:t>
        </m:r>
        <m:r>
          <m:t>s</m:t>
        </m:r>
        <m:r>
          <m:rPr>
            <m:sty m:val="p"/>
          </m:rPr>
          <m:t>)</m:t>
        </m:r>
        <m:r>
          <m:rPr>
            <m:sty m:val="p"/>
          </m:rPr>
          <m:t>,</m:t>
        </m:r>
        <m:r>
          <m:t>p</m:t>
        </m:r>
        <m:r>
          <m:t>l</m:t>
        </m:r>
        <m:r>
          <m:t>u</m:t>
        </m:r>
        <m:r>
          <m:t>s</m:t>
        </m:r>
        <m:r>
          <m:t>a</m:t>
        </m:r>
        <m:r>
          <m:t>n</m:t>
        </m:r>
        <m:r>
          <m:t>e</m:t>
        </m:r>
        <m:r>
          <m:t>w</m:t>
        </m:r>
        <m:r>
          <m:rPr>
            <m:sty m:val="p"/>
          </m:rPr>
          <m:t>*</m:t>
        </m:r>
        <m:r>
          <m:rPr>
            <m:sty m:val="p"/>
          </m:rPr>
          <m:t>*</m:t>
        </m:r>
      </m:oMath>
      <w:r>
        <w:t xml:space="preserve">5 billion incremental share-repurchase authorization**, bringing total available capacity to $8.6 billion.</w:t>
      </w:r>
    </w:p>
    <w:p>
      <w:pPr>
        <w:pStyle w:val="Compact"/>
        <w:numPr>
          <w:ilvl w:val="0"/>
          <w:numId w:val="1001"/>
        </w:numPr>
      </w:pPr>
      <w:r>
        <w:t xml:space="preserve">Company-issued</w:t>
      </w:r>
      <w:r>
        <w:t xml:space="preserve"> </w:t>
      </w:r>
      <w:r>
        <w:rPr>
          <w:b/>
          <w:bCs/>
        </w:rPr>
        <w:t xml:space="preserve">Q2 guidance</w:t>
      </w:r>
      <w:r>
        <w:t xml:space="preserve">: ~94% crude utilization, total throughput of ~2,990 mbpd, refining operating costs of $5.65/bbl, $300 million of turnaround costs, and $390 million of D&amp;A. This guidance is the key benchmark for tomorrow's actual results.</w:t>
      </w:r>
    </w:p>
    <w:p>
      <w:pPr>
        <w:pStyle w:val="Compact"/>
        <w:numPr>
          <w:ilvl w:val="0"/>
          <w:numId w:val="1001"/>
        </w:numPr>
      </w:pPr>
      <w:r>
        <w:t xml:space="preserve">MPLX (majority-owned midstream arm) reiterated 12.5% distribution growth for 2026–2027, backed by a $2.4 billion capital program (~90% nat gas/NGL) with several projects (Secretariat I, Titan, Harmon Creek III) transitioning from construction to cash generation in the back half of 2026.</w:t>
      </w:r>
    </w:p>
    <w:bookmarkEnd w:id="10"/>
    <w:bookmarkStart w:id="11" w:name="X40d971d740d92fcc05e6f59a664c9e001fe6b4d"/>
    <w:p>
      <w:pPr>
        <w:pStyle w:val="Heading2"/>
      </w:pPr>
      <w:r>
        <w:t xml:space="preserve">3. The Macro Backdrop: Peak Refining Margins</w:t>
      </w:r>
    </w:p>
    <w:p>
      <w:pPr>
        <w:pStyle w:val="FirstParagraph"/>
      </w:pPr>
      <w:r>
        <w:t xml:space="preserve">The read-through from peers that have already reported is very strong. Valero posted</w:t>
      </w:r>
      <w:r>
        <w:t xml:space="preserve"> </w:t>
      </w:r>
      <w:r>
        <w:rPr>
          <w:b/>
          <w:bCs/>
        </w:rPr>
        <w:t xml:space="preserve">"its highest-ever second-quarter profit"</w:t>
      </w:r>
      <w:r>
        <w:t xml:space="preserve">, with adjusted EPS of $12.54 versus estimates near $10.12, as</w:t>
      </w:r>
      <w:r>
        <w:t xml:space="preserve"> </w:t>
      </w:r>
      <w:r>
        <w:rPr>
          <w:b/>
          <w:bCs/>
        </w:rPr>
        <w:t xml:space="preserve">"refining margin per barrel of throughput nearly doubled to $23.62"</w:t>
      </w:r>
      <w:r>
        <w:t xml:space="preserve"> </w:t>
      </w:r>
      <w:r>
        <w:t xml:space="preserve">and it</w:t>
      </w:r>
      <w:r>
        <w:t xml:space="preserve"> </w:t>
      </w:r>
      <w:r>
        <w:rPr>
          <w:b/>
          <w:bCs/>
        </w:rPr>
        <w:t xml:space="preserve">"returned $2.6 billion to shareholders in the second quarter, up sharply from $695 million"</w:t>
      </w:r>
      <w:r>
        <w:t xml:space="preserve"> </w:t>
      </w:r>
      <w:r>
        <w:t xml:space="preserve">a year earlier. Chevron and ExxonMobil also posted some of their strongest quarterly profits in years, prompting political friction — including President Trump publicly criticizing Chevron's CEO — as U.S. gasoline prices have averaged above $4/gallon amid the global supply shortage tied to the Iran conflict.</w:t>
      </w:r>
    </w:p>
    <w:p>
      <w:pPr>
        <w:pStyle w:val="BodyText"/>
      </w:pPr>
      <w:r>
        <w:t xml:space="preserve">At the same time, there are early signs the windfall may be peaking: global oil prices</w:t>
      </w:r>
      <w:r>
        <w:t xml:space="preserve"> </w:t>
      </w:r>
      <w:r>
        <w:rPr>
          <w:b/>
          <w:bCs/>
        </w:rPr>
        <w:t xml:space="preserve">"fell 5% on a weekly basis last week"</w:t>
      </w:r>
      <w:r>
        <w:t xml:space="preserve"> </w:t>
      </w:r>
      <w:r>
        <w:t xml:space="preserve">as talks between the U.S. and Iran progressed, and commentary from Bloomberg Opinion pushed back on "tank bottoms" fears, arguing the inventory-depletion narrative contains</w:t>
      </w:r>
      <w:r>
        <w:t xml:space="preserve"> </w:t>
      </w:r>
      <w:r>
        <w:rPr>
          <w:b/>
          <w:bCs/>
        </w:rPr>
        <w:t xml:space="preserve">"ample hogwash"</w:t>
      </w:r>
      <w:r>
        <w:t xml:space="preserve"> </w:t>
      </w:r>
      <w:r>
        <w:t xml:space="preserve">alongside real tightness. Asian peer S-Oil, by contrast, still expects</w:t>
      </w:r>
      <w:r>
        <w:t xml:space="preserve"> </w:t>
      </w:r>
      <w:r>
        <w:rPr>
          <w:b/>
          <w:bCs/>
        </w:rPr>
        <w:t xml:space="preserve">"third-quarter refining margins to remain firm, supported by driving season demand"</w:t>
      </w:r>
      <w:r>
        <w:t xml:space="preserve"> </w:t>
      </w:r>
      <w:r>
        <w:t xml:space="preserve">and persistently low global product inventories — suggesting the crack-spread unwind, if it comes, may be gradual rather than abrupt.</w:t>
      </w:r>
    </w:p>
    <w:bookmarkEnd w:id="11"/>
    <w:bookmarkStart w:id="12" w:name="X667d3b98d3b6748256687f98b497051e9510f5c"/>
    <w:p>
      <w:pPr>
        <w:pStyle w:val="Heading2"/>
      </w:pPr>
      <w:r>
        <w:t xml:space="preserve">4. What Wall Street Expects for MPC Q2 2026</w:t>
      </w:r>
    </w:p>
    <w:p>
      <w:pPr>
        <w:pStyle w:val="FirstParagraph"/>
      </w:pPr>
      <w:r>
        <w:t xml:space="preserve">Consensus estimates have moved up sharply and dispersion across data providers is wide, reflecting how fluid the crack-spread environment has been: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2026E (range across sources)</w:t>
            </w:r>
          </w:p>
        </w:tc>
        <w:tc>
          <w:tcPr/>
          <w:p>
            <w:pPr>
              <w:pStyle w:val="Compact"/>
            </w:pPr>
            <w:r>
              <w:t xml:space="preserve">Q2 2025A</w:t>
            </w:r>
          </w:p>
        </w:tc>
      </w:tr>
      <w:tr>
        <w:tc>
          <w:tcPr/>
          <w:p>
            <w:pPr>
              <w:pStyle w:val="Compact"/>
            </w:pPr>
            <w:r>
              <w:t xml:space="preserve">Adjusted EPS</w:t>
            </w:r>
          </w:p>
        </w:tc>
        <w:tc>
          <w:tcPr/>
          <w:p>
            <w:pPr>
              <w:pStyle w:val="Compact"/>
            </w:pPr>
            <w:r>
              <w:t xml:space="preserve">~</w:t>
            </w:r>
            <m:oMath>
              <m:r>
                <m:t>11.55</m:t>
              </m:r>
              <m:r>
                <m:rPr>
                  <m:sty m:val="p"/>
                </m:rPr>
                <m:t>–</m:t>
              </m:r>
            </m:oMath>
            <w:r>
              <w:t xml:space="preserve">14.52</w:t>
            </w:r>
          </w:p>
        </w:tc>
        <w:tc>
          <w:tcPr/>
          <w:p>
            <w:pPr>
              <w:pStyle w:val="Compact"/>
            </w:pPr>
            <w:r>
              <w:t xml:space="preserve">$3.96</w:t>
            </w:r>
          </w:p>
        </w:tc>
      </w:tr>
      <w:tr>
        <w:tc>
          <w:tcPr/>
          <w:p>
            <w:pPr>
              <w:pStyle w:val="Compact"/>
            </w:pPr>
            <w:r>
              <w:t xml:space="preserve">Revenue</w:t>
            </w:r>
          </w:p>
        </w:tc>
        <w:tc>
          <w:tcPr/>
          <w:p>
            <w:pPr>
              <w:pStyle w:val="Compact"/>
            </w:pPr>
            <w:r>
              <w:t xml:space="preserve">~</w:t>
            </w:r>
            <m:oMath>
              <m:r>
                <m:t>41</m:t>
              </m:r>
              <m:r>
                <m:rPr>
                  <m:sty m:val="p"/>
                </m:rPr>
                <m:t>–</m:t>
              </m:r>
            </m:oMath>
            <w:r>
              <w:t xml:space="preserve">43 billion</w:t>
            </w:r>
          </w:p>
        </w:tc>
        <w:tc>
          <w:tcPr/>
          <w:p>
            <w:pPr>
              <w:pStyle w:val="Compact"/>
            </w:pPr>
            <w:r>
              <w:t xml:space="preserve">~$34 billion</w:t>
            </w:r>
          </w:p>
        </w:tc>
      </w:tr>
      <w:tr>
        <w:tc>
          <w:tcPr/>
          <w:p>
            <w:pPr>
              <w:pStyle w:val="Compact"/>
            </w:pPr>
            <w:r>
              <w:t xml:space="preserve">R&amp;M margin ($/bbl)</w:t>
            </w:r>
          </w:p>
        </w:tc>
        <w:tc>
          <w:tcPr/>
          <w:p>
            <w:pPr>
              <w:pStyle w:val="Compact"/>
            </w:pPr>
            <w:r>
              <w:t xml:space="preserve">~$32.86</w:t>
            </w:r>
          </w:p>
        </w:tc>
        <w:tc>
          <w:tcPr/>
          <w:p>
            <w:pPr>
              <w:pStyle w:val="Compact"/>
            </w:pPr>
            <w:r>
              <w:t xml:space="preserve">$17.58</w:t>
            </w:r>
          </w:p>
        </w:tc>
      </w:tr>
      <w:tr>
        <w:tc>
          <w:tcPr/>
          <w:p>
            <w:pPr>
              <w:pStyle w:val="Compact"/>
            </w:pPr>
            <w:r>
              <w:t xml:space="preserve">Net refinery throughput</w:t>
            </w:r>
          </w:p>
        </w:tc>
        <w:tc>
          <w:tcPr/>
          <w:p>
            <w:pPr>
              <w:pStyle w:val="Compact"/>
            </w:pPr>
            <w:r>
              <w:t xml:space="preserve">~2,987 mbpd</w:t>
            </w:r>
          </w:p>
        </w:tc>
        <w:tc>
          <w:tcPr/>
          <w:p>
            <w:pPr>
              <w:pStyle w:val="Compact"/>
            </w:pPr>
            <w:r>
              <w:t xml:space="preserve">~3,060 mbpd</w:t>
            </w:r>
          </w:p>
        </w:tc>
      </w:tr>
      <w:tr>
        <w:tc>
          <w:tcPr/>
          <w:p>
            <w:pPr>
              <w:pStyle w:val="Compact"/>
            </w:pPr>
            <w:r>
              <w:t xml:space="preserve">R&amp;M segment adjusted EBITDA</w:t>
            </w:r>
          </w:p>
        </w:tc>
        <w:tc>
          <w:tcPr/>
          <w:p>
            <w:pPr>
              <w:pStyle w:val="Compact"/>
            </w:pPr>
            <w:r>
              <w:t xml:space="preserve">~$5.8 billion</w:t>
            </w:r>
          </w:p>
        </w:tc>
        <w:tc>
          <w:tcPr/>
          <w:p>
            <w:pPr>
              <w:pStyle w:val="Compact"/>
            </w:pPr>
            <w:r>
              <w:t xml:space="preserve">~$1.9 billion</w:t>
            </w:r>
          </w:p>
        </w:tc>
      </w:tr>
      <w:tr>
        <w:tc>
          <w:tcPr/>
          <w:p>
            <w:pPr>
              <w:pStyle w:val="Compact"/>
            </w:pPr>
            <w:r>
              <w:t xml:space="preserve">Midstream adjusted EBITDA</w:t>
            </w:r>
          </w:p>
        </w:tc>
        <w:tc>
          <w:tcPr/>
          <w:p>
            <w:pPr>
              <w:pStyle w:val="Compact"/>
            </w:pPr>
            <w:r>
              <w:t xml:space="preserve">~$1.69 billion</w:t>
            </w:r>
          </w:p>
        </w:tc>
        <w:tc>
          <w:tcPr/>
          <w:p>
            <w:pPr>
              <w:pStyle w:val="Compact"/>
            </w:pPr>
            <w:r>
              <w:t xml:space="preserve">~$1.64 billion</w:t>
            </w:r>
          </w:p>
        </w:tc>
      </w:tr>
      <w:tr>
        <w:tc>
          <w:tcPr/>
          <w:p>
            <w:pPr>
              <w:pStyle w:val="Compact"/>
            </w:pPr>
            <w:r>
              <w:t xml:space="preserve">Total adjusted EBITDA</w:t>
            </w:r>
          </w:p>
        </w:tc>
        <w:tc>
          <w:tcPr/>
          <w:p>
            <w:pPr>
              <w:pStyle w:val="Compact"/>
            </w:pPr>
            <w:r>
              <w:t xml:space="preserve">~$6.3 billion</w:t>
            </w:r>
          </w:p>
        </w:tc>
        <w:tc>
          <w:tcPr/>
          <w:p>
            <w:pPr>
              <w:pStyle w:val="Compact"/>
            </w:pPr>
            <w:r>
              <w:t xml:space="preserve">~$3.3 billion</w:t>
            </w:r>
          </w:p>
        </w:tc>
      </w:tr>
    </w:tbl>
    <w:p>
      <w:pPr>
        <w:pStyle w:val="BodyText"/>
      </w:pPr>
      <w:r>
        <w:t xml:space="preserve">FY2026 consensus EPS sits around</w:t>
      </w:r>
      <w:r>
        <w:t xml:space="preserve"> </w:t>
      </w:r>
      <w:r>
        <w:rPr>
          <w:b/>
          <w:bCs/>
        </w:rPr>
        <w:t xml:space="preserve">$33</w:t>
      </w:r>
      <w:r>
        <w:t xml:space="preserve">, more than triple the</w:t>
      </w:r>
      <w:r>
        <w:t xml:space="preserve"> </w:t>
      </w:r>
      <m:oMath>
        <m:r>
          <m:t>10.70</m:t>
        </m:r>
        <m:r>
          <m:t>r</m:t>
        </m:r>
        <m:r>
          <m:t>e</m:t>
        </m:r>
        <m:r>
          <m:t>p</m:t>
        </m:r>
        <m:r>
          <m:t>o</m:t>
        </m:r>
        <m:r>
          <m:t>r</m:t>
        </m:r>
        <m:r>
          <m:t>t</m:t>
        </m:r>
        <m:r>
          <m:t>e</m:t>
        </m:r>
        <m:r>
          <m:t>d</m:t>
        </m:r>
        <m:r>
          <m:t>i</m:t>
        </m:r>
        <m:r>
          <m:t>n</m:t>
        </m:r>
        <m:r>
          <m:t>f</m:t>
        </m:r>
        <m:r>
          <m:t>i</m:t>
        </m:r>
        <m:r>
          <m:t>s</m:t>
        </m:r>
        <m:r>
          <m:t>c</m:t>
        </m:r>
        <m:r>
          <m:t>a</m:t>
        </m:r>
        <m:r>
          <m:t>l</m:t>
        </m:r>
        <m:r>
          <m:t>2025</m:t>
        </m:r>
        <m:r>
          <m:rPr>
            <m:sty m:val="p"/>
          </m:rPr>
          <m:t>,</m:t>
        </m:r>
        <m:r>
          <m:t>w</m:t>
        </m:r>
        <m:r>
          <m:t>i</m:t>
        </m:r>
        <m:r>
          <m:t>t</m:t>
        </m:r>
        <m:r>
          <m:t>h</m:t>
        </m:r>
        <m:r>
          <m:t>t</m:t>
        </m:r>
        <m:r>
          <m:t>h</m:t>
        </m:r>
        <m:r>
          <m:t>e</m:t>
        </m:r>
        <m:r>
          <m:t>e</m:t>
        </m:r>
        <m:r>
          <m:t>s</m:t>
        </m:r>
        <m:r>
          <m:t>t</m:t>
        </m:r>
        <m:r>
          <m:t>i</m:t>
        </m:r>
        <m:r>
          <m:t>m</m:t>
        </m:r>
        <m:r>
          <m:t>a</m:t>
        </m:r>
        <m:r>
          <m:t>t</m:t>
        </m:r>
        <m:r>
          <m:t>e</m:t>
        </m:r>
        <m:r>
          <m:t>c</m:t>
        </m:r>
        <m:r>
          <m:t>u</m:t>
        </m:r>
        <m:r>
          <m:t>r</m:t>
        </m:r>
        <m:r>
          <m:t>v</m:t>
        </m:r>
        <m:r>
          <m:t>e</m:t>
        </m:r>
        <m:r>
          <m:t>t</m:t>
        </m:r>
        <m:r>
          <m:t>h</m:t>
        </m:r>
        <m:r>
          <m:t>e</m:t>
        </m:r>
        <m:r>
          <m:t>n</m:t>
        </m:r>
        <m:r>
          <m:t>s</m:t>
        </m:r>
        <m:r>
          <m:t>t</m:t>
        </m:r>
        <m:r>
          <m:t>e</m:t>
        </m:r>
        <m:r>
          <m:t>p</m:t>
        </m:r>
        <m:r>
          <m:t>p</m:t>
        </m:r>
        <m:r>
          <m:t>i</m:t>
        </m:r>
        <m:r>
          <m:t>n</m:t>
        </m:r>
        <m:r>
          <m:t>g</m:t>
        </m:r>
        <m:r>
          <m:t>d</m:t>
        </m:r>
        <m:r>
          <m:t>o</m:t>
        </m:r>
        <m:r>
          <m:t>w</m:t>
        </m:r>
        <m:r>
          <m:t>n</m:t>
        </m:r>
        <m:r>
          <m:t>t</m:t>
        </m:r>
        <m:r>
          <m:t>o</m:t>
        </m:r>
        <m:r>
          <m:t>w</m:t>
        </m:r>
        <m:r>
          <m:t>a</m:t>
        </m:r>
        <m:r>
          <m:t>r</m:t>
        </m:r>
        <m:r>
          <m:t>d</m:t>
        </m:r>
        <m:r>
          <m:t> </m:t>
        </m:r>
      </m:oMath>
      <w:r>
        <w:t xml:space="preserve">9 in Q3 and ~$6 in Q4 as the market assumes margins normalize. Analyst sentiment is described as a</w:t>
      </w:r>
      <w:r>
        <w:t xml:space="preserve"> </w:t>
      </w:r>
      <w:r>
        <w:rPr>
          <w:b/>
          <w:bCs/>
        </w:rPr>
        <w:t xml:space="preserve">"consensus 'Moderate Buy' rating, with price targets ranging from approximately $228 to a Street-high of $344"</w:t>
      </w:r>
      <w:r>
        <w:t xml:space="preserve">, though MPC currently</w:t>
      </w:r>
      <w:r>
        <w:t xml:space="preserve"> </w:t>
      </w:r>
      <w:r>
        <w:rPr>
          <w:b/>
          <w:bCs/>
        </w:rPr>
        <w:t xml:space="preserve">"trades above the average analyst price target"</w:t>
      </w:r>
      <w:r>
        <w:t xml:space="preserve"> </w:t>
      </w:r>
      <w:r>
        <w:t xml:space="preserve">— a setup that raises the bar for a positive stock reaction even if the headline beats.</w:t>
      </w:r>
    </w:p>
    <w:bookmarkEnd w:id="12"/>
    <w:bookmarkStart w:id="13" w:name="Xfa205487bd031c05ac92ce55607aed6df9c8138"/>
    <w:p>
      <w:pPr>
        <w:pStyle w:val="Heading2"/>
      </w:pPr>
      <w:r>
        <w:t xml:space="preserve">5. Key Things to Watch on the Call</w:t>
      </w:r>
    </w:p>
    <w:p>
      <w:pPr>
        <w:pStyle w:val="Compact"/>
        <w:numPr>
          <w:ilvl w:val="0"/>
          <w:numId w:val="1002"/>
        </w:numPr>
      </w:pPr>
      <w:r>
        <w:rPr>
          <w:b/>
          <w:bCs/>
        </w:rPr>
        <w:t xml:space="preserve">Capture rate vs. crack expansion.</w:t>
      </w:r>
      <w:r>
        <w:t xml:space="preserve"> </w:t>
      </w:r>
      <w:r>
        <w:t xml:space="preserve">In Q1, management said capture would have exceeded 100% absent secondary-product headwinds and ~$500 million of unrealized derivative timing losses tied to extreme commodity volatility. With Q2 crack spreads even wider, watch whether those hedging/derivative timing effects reverse into a tailwind (as management guided) or create fresh noise.</w:t>
      </w:r>
    </w:p>
    <w:p>
      <w:pPr>
        <w:pStyle w:val="Compact"/>
        <w:numPr>
          <w:ilvl w:val="0"/>
          <w:numId w:val="1002"/>
        </w:numPr>
      </w:pPr>
      <w:r>
        <w:rPr>
          <w:b/>
          <w:bCs/>
        </w:rPr>
        <w:t xml:space="preserve">Utilization and turnaround pacing.</w:t>
      </w:r>
      <w:r>
        <w:t xml:space="preserve"> </w:t>
      </w:r>
      <w:r>
        <w:t xml:space="preserve">Q2 guidance called for ~94% utilization and $300 million of turnaround spend, down sharply from Q1's $530 million, since MPC front-loaded ~40% of 2026's turnaround program into Q1. Full-year turnaround guidance was reiterated at $1.35 billion — confirmation that the back half is on track matters for H2 estimates.</w:t>
      </w:r>
    </w:p>
    <w:p>
      <w:pPr>
        <w:pStyle w:val="Compact"/>
        <w:numPr>
          <w:ilvl w:val="0"/>
          <w:numId w:val="1002"/>
        </w:numPr>
      </w:pPr>
      <w:r>
        <w:rPr>
          <w:b/>
          <w:bCs/>
        </w:rPr>
        <w:t xml:space="preserve">Regional mix.</w:t>
      </w:r>
      <w:r>
        <w:t xml:space="preserve"> </w:t>
      </w:r>
      <w:r>
        <w:t xml:space="preserve">Gulf Coast benefited from export strength and advantaged Canadian/inland crude sourcing; the Mid-Con was described as "the best market we have right now" heading into Q2 on tight distillate inventories; the West Coast stayed structurally short due to reduced Asian import volumes. Expect continued outperformance in Mid-Con and Gulf Coast, per management's own Q1 commentary.</w:t>
      </w:r>
    </w:p>
    <w:p>
      <w:pPr>
        <w:pStyle w:val="Compact"/>
        <w:numPr>
          <w:ilvl w:val="0"/>
          <w:numId w:val="1002"/>
        </w:numPr>
      </w:pPr>
      <w:r>
        <w:rPr>
          <w:b/>
          <w:bCs/>
        </w:rPr>
        <w:t xml:space="preserve">Capital returns cadence.</w:t>
      </w:r>
      <w:r>
        <w:t xml:space="preserve"> </w:t>
      </w:r>
      <w:r>
        <w:t xml:space="preserve">With $8.6 billion in buyback capacity and a CEO who called cash generation a "windfall" opportunity to lean into repurchases (while cautioning about pacing risk if geopolitical premiums unwind quickly), the size and cadence of Q2 buybacks will be closely watched — Wells Fargo's Doug Leggate flagged the risk of mistiming buybacks if a Hormuz resolution triggers a sharp crude/crack reversal.</w:t>
      </w:r>
    </w:p>
    <w:p>
      <w:pPr>
        <w:pStyle w:val="Compact"/>
        <w:numPr>
          <w:ilvl w:val="0"/>
          <w:numId w:val="1002"/>
        </w:numPr>
      </w:pPr>
      <w:r>
        <w:rPr>
          <w:b/>
          <w:bCs/>
        </w:rPr>
        <w:t xml:space="preserve">MPLX read-through.</w:t>
      </w:r>
      <w:r>
        <w:t xml:space="preserve"> </w:t>
      </w:r>
      <w:r>
        <w:t xml:space="preserve">Updates on Secretariat I ramp, Titan sour-gas treating, Harmon Creek III start-up (targeted 3Q26), and the Gulf Coast LPG fractionator/export JV (with the recently signed E1 offtake deal) will matter for the durability of MPC's distribution growth and cash-flow stability thesis.</w:t>
      </w:r>
    </w:p>
    <w:p>
      <w:pPr>
        <w:pStyle w:val="Compact"/>
        <w:numPr>
          <w:ilvl w:val="0"/>
          <w:numId w:val="1002"/>
        </w:numPr>
      </w:pPr>
      <w:r>
        <w:rPr>
          <w:b/>
          <w:bCs/>
        </w:rPr>
        <w:t xml:space="preserve">New capital projects.</w:t>
      </w:r>
      <w:r>
        <w:t xml:space="preserve"> </w:t>
      </w:r>
      <w:r>
        <w:t xml:space="preserve">The Robinson jet-flexibility project (adding ~10,000 bpd of jet capacity) is targeted for 3Q26 online, following Garyville's jet expansion that came online in Q1 — watch for updated timing/cost commentary given the jet-fuel-demand tailwind cited across the sector.</w:t>
      </w:r>
    </w:p>
    <w:bookmarkEnd w:id="13"/>
    <w:bookmarkStart w:id="14" w:name="Xb0dbb803a74a269256de4135bf83e9c36eca652"/>
    <w:p>
      <w:pPr>
        <w:pStyle w:val="Heading2"/>
      </w:pPr>
      <w:r>
        <w:t xml:space="preserve">6. Risks Into the Print</w:t>
      </w:r>
    </w:p>
    <w:p>
      <w:pPr>
        <w:pStyle w:val="Compact"/>
        <w:numPr>
          <w:ilvl w:val="0"/>
          <w:numId w:val="1003"/>
        </w:numPr>
      </w:pPr>
      <w:r>
        <w:rPr>
          <w:b/>
          <w:bCs/>
        </w:rPr>
        <w:t xml:space="preserve">De-escalation risk</w:t>
      </w:r>
      <w:r>
        <w:t xml:space="preserve">: progress in U.S.-Iran talks and a falling oil price into the print raise the odds that Q2 could mark a cyclical peak in crack spreads, making guidance/commentary about July–August trends more important than the backward-looking Q2 numbers themselves.</w:t>
      </w:r>
    </w:p>
    <w:p>
      <w:pPr>
        <w:pStyle w:val="Compact"/>
        <w:numPr>
          <w:ilvl w:val="0"/>
          <w:numId w:val="1003"/>
        </w:numPr>
      </w:pPr>
      <w:r>
        <w:rPr>
          <w:b/>
          <w:bCs/>
        </w:rPr>
        <w:t xml:space="preserve">Valuation/positioning risk</w:t>
      </w:r>
      <w:r>
        <w:t xml:space="preserve">: shares trade above the average analyst price target after a ~70% one-year rally, raising the bar for the stock to react positively even to a large beat ("sell the news" risk).</w:t>
      </w:r>
    </w:p>
    <w:p>
      <w:pPr>
        <w:pStyle w:val="Compact"/>
        <w:numPr>
          <w:ilvl w:val="0"/>
          <w:numId w:val="1003"/>
        </w:numPr>
      </w:pPr>
      <w:r>
        <w:rPr>
          <w:b/>
          <w:bCs/>
        </w:rPr>
        <w:t xml:space="preserve">Political/regulatory risk</w:t>
      </w:r>
      <w:r>
        <w:t xml:space="preserve">: elevated pump prices (&gt;$4/gallon) and public criticism of oil majors' profits (as seen with Chevron) raise tail risk around windfall-tax rhetoric heading into midterm election season.</w:t>
      </w:r>
    </w:p>
    <w:p>
      <w:pPr>
        <w:pStyle w:val="Compact"/>
        <w:numPr>
          <w:ilvl w:val="0"/>
          <w:numId w:val="1003"/>
        </w:numPr>
      </w:pPr>
      <w:r>
        <w:rPr>
          <w:b/>
          <w:bCs/>
        </w:rPr>
        <w:t xml:space="preserve">Derivative/secondary-product volatility</w:t>
      </w:r>
      <w:r>
        <w:t xml:space="preserve">: as seen in Q1, extreme commodity swings can create meaningful, hard-to-predict swings in quarterly capture even when the underlying crack environment is favorable.</w:t>
      </w:r>
    </w:p>
    <w:bookmarkEnd w:id="14"/>
    <w:bookmarkStart w:id="15" w:name="bottom-line"/>
    <w:p>
      <w:pPr>
        <w:pStyle w:val="Heading2"/>
      </w:pPr>
      <w:r>
        <w:t xml:space="preserve">Bottom Line</w:t>
      </w:r>
    </w:p>
    <w:p>
      <w:pPr>
        <w:pStyle w:val="FirstParagraph"/>
      </w:pPr>
      <w:r>
        <w:t xml:space="preserve">MPC enters tomorrow's print in the strongest refining-margin environment in years, with peer results from Valero already confirming that Q2 was an exceptional quarter for U.S. refiners. The setup, however, is a "priced for perfection" one: consensus EPS has been revised up dramatically (Zacks noted a</w:t>
      </w:r>
      <w:r>
        <w:t xml:space="preserve"> </w:t>
      </w:r>
      <w:r>
        <w:rPr>
          <w:b/>
          <w:bCs/>
        </w:rPr>
        <w:t xml:space="preserve">"61.2%"</w:t>
      </w:r>
      <w:r>
        <w:t xml:space="preserve"> </w:t>
      </w:r>
      <w:r>
        <w:t xml:space="preserve">upward revision in the past 30 days alone), the stock is near all-time highs, and the macro tailwind (Iran conflict-driven crack spreads) shows tentative signs of cresting as diplomatic talks progress. The most important signals for investors will likely be less about the magnitude of the Q2 beat and more about (1) management's tone on crack-spread durability into 2H26 and 2027, (2) the pace of buybacks given elevated cash generation, and (3) confirmation that the back-half turnaround schedule and MPLX growth projects remain on track.</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2026-08-04T01:09:47Z</dcterms:created>
  <dcterms:modified xsi:type="dcterms:W3CDTF">2026-08-04T01:09:47Z</dcterms:modified>
</cp:coreProperties>
</file>

<file path=docProps/custom.xml><?xml version="1.0" encoding="utf-8"?>
<Properties xmlns="http://schemas.openxmlformats.org/officeDocument/2006/custom-properties" xmlns:vt="http://schemas.openxmlformats.org/officeDocument/2006/docPropsVTypes"/>
</file>