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25cccdeb8206bad918a6b8befce537bf2eeb2d"/>
    <w:p>
      <w:pPr>
        <w:pStyle w:val="Heading1"/>
      </w:pPr>
      <w:r>
        <w:t xml:space="preserve">Marathon Petroleum (MPC) — 2Q26 Earnings Preview</w:t>
      </w:r>
    </w:p>
    <w:p>
      <w:pPr>
        <w:pStyle w:val="BlockText"/>
      </w:pPr>
      <w:r>
        <w:rPr>
          <w:b/>
          <w:bCs/>
        </w:rPr>
        <w:t xml:space="preserve">Timing note:</w:t>
      </w:r>
      <w:r>
        <w:t xml:space="preserve"> </w:t>
      </w:r>
      <w:r>
        <w:t xml:space="preserve">MPC is scheduled to report</w:t>
      </w:r>
      <w:r>
        <w:t xml:space="preserve"> </w:t>
      </w:r>
      <w:r>
        <w:rPr>
          <w:b/>
          <w:bCs/>
        </w:rPr>
        <w:t xml:space="preserve">today, Tuesday, August 4, 2026</w:t>
      </w:r>
      <w:r>
        <w:t xml:space="preserve">, before the market opens, with its earnings call at</w:t>
      </w:r>
      <w:r>
        <w:t xml:space="preserve"> </w:t>
      </w:r>
      <w:r>
        <w:rPr>
          <w:b/>
          <w:bCs/>
        </w:rPr>
        <w:t xml:space="preserve">11:00 a.m. ET</w:t>
      </w:r>
      <w:r>
        <w:t xml:space="preserve">—not tomorrow. (</w:t>
      </w:r>
      <w:hyperlink r:id="rId9">
        <w:r>
          <w:rPr>
            <w:rStyle w:val="Hyperlink"/>
          </w:rPr>
          <w:t xml:space="preserve">ir.marathonpetroleum.com</w:t>
        </w:r>
      </w:hyperlink>
      <w:r>
        <w:t xml:space="preserve">)</w:t>
      </w:r>
    </w:p>
    <w:bookmarkStart w:id="11" w:name="executive-view"/>
    <w:p>
      <w:pPr>
        <w:pStyle w:val="Heading2"/>
      </w:pPr>
      <w:r>
        <w:t xml:space="preserve">Executive view</w:t>
      </w:r>
    </w:p>
    <w:p>
      <w:pPr>
        <w:pStyle w:val="FirstParagraph"/>
      </w:pPr>
      <w:r>
        <w:t xml:space="preserve">MPC should report an exceptionally strong quarter. The debate is unlikely to center on whether earnings increased sharply; it will center on:</w:t>
      </w:r>
    </w:p>
    <w:p>
      <w:pPr>
        <w:pStyle w:val="Compact"/>
        <w:numPr>
          <w:ilvl w:val="0"/>
          <w:numId w:val="1001"/>
        </w:numPr>
      </w:pPr>
      <w:r>
        <w:rPr>
          <w:b/>
          <w:bCs/>
        </w:rPr>
        <w:t xml:space="preserve">How much of record benchmark margins MPC captured</w:t>
      </w:r>
    </w:p>
    <w:p>
      <w:pPr>
        <w:pStyle w:val="Compact"/>
        <w:numPr>
          <w:ilvl w:val="0"/>
          <w:numId w:val="1001"/>
        </w:numPr>
      </w:pPr>
      <w:r>
        <w:rPr>
          <w:b/>
          <w:bCs/>
        </w:rPr>
        <w:t xml:space="preserve">Whether operational reliability supported the planned 94% utilization</w:t>
      </w:r>
    </w:p>
    <w:p>
      <w:pPr>
        <w:pStyle w:val="Compact"/>
        <w:numPr>
          <w:ilvl w:val="0"/>
          <w:numId w:val="1001"/>
        </w:numPr>
      </w:pPr>
      <w:r>
        <w:rPr>
          <w:b/>
          <w:bCs/>
        </w:rPr>
        <w:t xml:space="preserve">How much cash was returned through buybacks</w:t>
      </w:r>
    </w:p>
    <w:p>
      <w:pPr>
        <w:pStyle w:val="Compact"/>
        <w:numPr>
          <w:ilvl w:val="0"/>
          <w:numId w:val="1001"/>
        </w:numPr>
      </w:pPr>
      <w:r>
        <w:rPr>
          <w:b/>
          <w:bCs/>
        </w:rPr>
        <w:t xml:space="preserve">Whether July’s extraordinary refining conditions can persist into 3Q</w:t>
      </w:r>
    </w:p>
    <w:p>
      <w:pPr>
        <w:pStyle w:val="Compact"/>
        <w:numPr>
          <w:ilvl w:val="0"/>
          <w:numId w:val="1001"/>
        </w:numPr>
      </w:pPr>
      <w:r>
        <w:rPr>
          <w:b/>
          <w:bCs/>
        </w:rPr>
        <w:t xml:space="preserve">Whether investors have already priced in the upside</w:t>
      </w:r>
    </w:p>
    <w:p>
      <w:pPr>
        <w:pStyle w:val="FirstParagraph"/>
      </w:pPr>
      <w:r>
        <w:t xml:space="preserve">Published estimates vary materially, with adjusted EPS forecasts ranging from approximately</w:t>
      </w:r>
      <w:r>
        <w:t xml:space="preserve"> </w:t>
      </w:r>
      <w:r>
        <w:rPr>
          <w:b/>
          <w:bCs/>
        </w:rPr>
        <w:t xml:space="preserve">$12.31 to</w:t>
      </w:r>
      <w:r>
        <w:rPr>
          <w:b/>
          <w:bCs/>
        </w:rPr>
        <w:t xml:space="preserve"> </w:t>
      </w:r>
      <m:oMath>
        <m:r>
          <m:t>14.27</m:t>
        </m:r>
        <m:r>
          <m:rPr>
            <m:sty m:val="p"/>
          </m:rPr>
          <m:t>*</m:t>
        </m:r>
        <m:r>
          <m:rPr>
            <m:sty m:val="p"/>
          </m:rPr>
          <m:t>*</m:t>
        </m:r>
        <m:r>
          <m:t>a</m:t>
        </m:r>
        <m:r>
          <m:t>n</m:t>
        </m:r>
        <m:r>
          <m:t>d</m:t>
        </m:r>
        <m:r>
          <m:t>r</m:t>
        </m:r>
        <m:r>
          <m:t>e</m:t>
        </m:r>
        <m:r>
          <m:t>v</m:t>
        </m:r>
        <m:r>
          <m:t>e</m:t>
        </m:r>
        <m:r>
          <m:t>n</m:t>
        </m:r>
        <m:r>
          <m:t>u</m:t>
        </m:r>
        <m:r>
          <m:t>e</m:t>
        </m:r>
        <m:r>
          <m:t>e</m:t>
        </m:r>
        <m:r>
          <m:t>s</m:t>
        </m:r>
        <m:r>
          <m:t>t</m:t>
        </m:r>
        <m:r>
          <m:t>i</m:t>
        </m:r>
        <m:r>
          <m:t>m</m:t>
        </m:r>
        <m:r>
          <m:t>a</m:t>
        </m:r>
        <m:r>
          <m:t>t</m:t>
        </m:r>
        <m:r>
          <m:t>e</m:t>
        </m:r>
        <m:r>
          <m:t>s</m:t>
        </m:r>
        <m:r>
          <m:t>a</m:t>
        </m:r>
        <m:r>
          <m:t>r</m:t>
        </m:r>
        <m:r>
          <m:t>o</m:t>
        </m:r>
        <m:r>
          <m:t>u</m:t>
        </m:r>
        <m:r>
          <m:t>n</m:t>
        </m:r>
        <m:r>
          <m:t>d</m:t>
        </m:r>
        <m:r>
          <m:rPr>
            <m:sty m:val="p"/>
          </m:rPr>
          <m:t>*</m:t>
        </m:r>
        <m:r>
          <m:rPr>
            <m:sty m:val="p"/>
          </m:rPr>
          <m:t>*</m:t>
        </m:r>
      </m:oMath>
      <w:r>
        <w:rPr>
          <w:b/>
          <w:bCs/>
        </w:rPr>
        <w:t xml:space="preserve">40.3-$40.9 billion</w:t>
      </w:r>
      <w:r>
        <w:t xml:space="preserve">. For a refiner, revenue is largely a commodity-price pass-through; margin capture, EBITDA, cash flow, and forward commentary matter considerably more. (</w:t>
      </w:r>
      <w:hyperlink r:id="rId10">
        <w:r>
          <w:rPr>
            <w:rStyle w:val="Hyperlink"/>
          </w:rPr>
          <w:t xml:space="preserve">marketbeat.com</w:t>
        </w:r>
      </w:hyperlink>
      <w:r>
        <w:t xml:space="preserve">)</w:t>
      </w:r>
    </w:p>
    <w:p>
      <w:pPr>
        <w:pStyle w:val="BodyText"/>
      </w:pPr>
      <w:r>
        <w:t xml:space="preserve">MPC closed August 3 near</w:t>
      </w:r>
      <w:r>
        <w:t xml:space="preserve"> </w:t>
      </w:r>
      <w:r>
        <w:rPr>
          <w:b/>
          <w:bCs/>
        </w:rPr>
        <w:t xml:space="preserve">$307</w:t>
      </w:r>
      <w:r>
        <w:t xml:space="preserve">, up roughly</w:t>
      </w:r>
      <w:r>
        <w:t xml:space="preserve"> </w:t>
      </w:r>
      <w:r>
        <w:rPr>
          <w:b/>
          <w:bCs/>
        </w:rPr>
        <w:t xml:space="preserve">86% from the first trading day of 2026</w:t>
      </w:r>
      <w:r>
        <w:t xml:space="preserve">. Expectations are therefore demanding: a large headline beat may not be sufficient if capture, buybacks, or 3Q guidance disappoint.</w:t>
      </w:r>
    </w:p>
    <w:p>
      <w:r>
        <w:pict>
          <v:rect style="width:0;height:1.5pt" o:hralign="center" o:hrstd="t" o:hr="t"/>
        </w:pict>
      </w:r>
    </w:p>
    <w:bookmarkEnd w:id="11"/>
    <w:bookmarkStart w:id="13" w:name="the-setup"/>
    <w:p>
      <w:pPr>
        <w:pStyle w:val="Heading2"/>
      </w:pPr>
      <w:r>
        <w:t xml:space="preserve">The setup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2Q26 company framework</w:t>
            </w:r>
          </w:p>
        </w:tc>
      </w:tr>
      <w:tr>
        <w:tc>
          <w:tcPr/>
          <w:p>
            <w:pPr>
              <w:pStyle w:val="Compact"/>
            </w:pPr>
            <w:r>
              <w:t xml:space="preserve">Crude throughput</w:t>
            </w:r>
          </w:p>
        </w:tc>
        <w:tc>
          <w:tcPr/>
          <w:p>
            <w:pPr>
              <w:pStyle w:val="Compact"/>
              <w:jc w:val="right"/>
            </w:pPr>
            <w:r>
              <w:t xml:space="preserve">2.664 million bpd</w:t>
            </w:r>
          </w:p>
        </w:tc>
        <w:tc>
          <w:tcPr/>
          <w:p>
            <w:pPr>
              <w:pStyle w:val="Compact"/>
              <w:jc w:val="right"/>
            </w:pPr>
            <w:r>
              <w:t xml:space="preserve">2.795 million bpd</w:t>
            </w:r>
          </w:p>
        </w:tc>
      </w:tr>
      <w:tr>
        <w:tc>
          <w:tcPr/>
          <w:p>
            <w:pPr>
              <w:pStyle w:val="Compact"/>
            </w:pPr>
            <w:r>
              <w:t xml:space="preserve">Total throughput</w:t>
            </w:r>
          </w:p>
        </w:tc>
        <w:tc>
          <w:tcPr/>
          <w:p>
            <w:pPr>
              <w:pStyle w:val="Compact"/>
              <w:jc w:val="right"/>
            </w:pPr>
            <w:r>
              <w:t xml:space="preserve">2.850 million bpd</w:t>
            </w:r>
          </w:p>
        </w:tc>
        <w:tc>
          <w:tcPr/>
          <w:p>
            <w:pPr>
              <w:pStyle w:val="Compact"/>
              <w:jc w:val="right"/>
            </w:pPr>
            <w:r>
              <w:t xml:space="preserve">2.990 million bpd</w:t>
            </w:r>
          </w:p>
        </w:tc>
      </w:tr>
      <w:tr>
        <w:tc>
          <w:tcPr/>
          <w:p>
            <w:pPr>
              <w:pStyle w:val="Compact"/>
            </w:pPr>
            <w:r>
              <w:t xml:space="preserve">Crude utilization</w:t>
            </w:r>
          </w:p>
        </w:tc>
        <w:tc>
          <w:tcPr/>
          <w:p>
            <w:pPr>
              <w:pStyle w:val="Compact"/>
              <w:jc w:val="right"/>
            </w:pPr>
            <w:r>
              <w:t xml:space="preserve">89%</w:t>
            </w:r>
          </w:p>
        </w:tc>
        <w:tc>
          <w:tcPr/>
          <w:p>
            <w:pPr>
              <w:pStyle w:val="Compact"/>
              <w:jc w:val="right"/>
            </w:pPr>
            <w:r>
              <w:t xml:space="preserve">Approximately 94%</w:t>
            </w:r>
          </w:p>
        </w:tc>
      </w:tr>
      <w:tr>
        <w:tc>
          <w:tcPr/>
          <w:p>
            <w:pPr>
              <w:pStyle w:val="Compact"/>
            </w:pPr>
            <w:r>
              <w:t xml:space="preserve">R&amp;M margin</w:t>
            </w:r>
          </w:p>
        </w:tc>
        <w:tc>
          <w:tcPr/>
          <w:p>
            <w:pPr>
              <w:pStyle w:val="Compact"/>
              <w:jc w:val="right"/>
            </w:pPr>
            <w:r>
              <w:t xml:space="preserve">$17.74/bbl</w:t>
            </w:r>
          </w:p>
        </w:tc>
        <w:tc>
          <w:tcPr/>
          <w:p>
            <w:pPr>
              <w:pStyle w:val="Compact"/>
              <w:jc w:val="right"/>
            </w:pPr>
            <w:r>
              <w:t xml:space="preserve">Benchmark setup implies a major increase</w:t>
            </w:r>
          </w:p>
        </w:tc>
      </w:tr>
      <w:tr>
        <w:tc>
          <w:tcPr/>
          <w:p>
            <w:pPr>
              <w:pStyle w:val="Compact"/>
            </w:pPr>
            <w:r>
              <w:t xml:space="preserve">Refining operating cost</w:t>
            </w:r>
          </w:p>
        </w:tc>
        <w:tc>
          <w:tcPr/>
          <w:p>
            <w:pPr>
              <w:pStyle w:val="Compact"/>
              <w:jc w:val="right"/>
            </w:pPr>
            <w:r>
              <w:t xml:space="preserve">$6.23/bbl</w:t>
            </w:r>
          </w:p>
        </w:tc>
        <w:tc>
          <w:tcPr/>
          <w:p>
            <w:pPr>
              <w:pStyle w:val="Compact"/>
              <w:jc w:val="right"/>
            </w:pPr>
            <w:r>
              <w:t xml:space="preserve">$5.65/bbl</w:t>
            </w:r>
          </w:p>
        </w:tc>
      </w:tr>
      <w:tr>
        <w:tc>
          <w:tcPr/>
          <w:p>
            <w:pPr>
              <w:pStyle w:val="Compact"/>
            </w:pPr>
            <w:r>
              <w:t xml:space="preserve">Planned turnaround expense</w:t>
            </w:r>
          </w:p>
        </w:tc>
        <w:tc>
          <w:tcPr/>
          <w:p>
            <w:pPr>
              <w:pStyle w:val="Compact"/>
              <w:jc w:val="right"/>
            </w:pPr>
            <w:r>
              <w:t xml:space="preserve">$530 million</w:t>
            </w:r>
          </w:p>
        </w:tc>
        <w:tc>
          <w:tcPr/>
          <w:p>
            <w:pPr>
              <w:pStyle w:val="Compact"/>
              <w:jc w:val="right"/>
            </w:pPr>
            <w:r>
              <w:t xml:space="preserve">$300 million</w:t>
            </w:r>
          </w:p>
        </w:tc>
      </w:tr>
      <w:tr>
        <w:tc>
          <w:tcPr/>
          <w:p>
            <w:pPr>
              <w:pStyle w:val="Compact"/>
            </w:pPr>
            <w:r>
              <w:t xml:space="preserve">R&amp;M adjusted EBITDA</w:t>
            </w:r>
          </w:p>
        </w:tc>
        <w:tc>
          <w:tcPr/>
          <w:p>
            <w:pPr>
              <w:pStyle w:val="Compact"/>
              <w:jc w:val="right"/>
            </w:pPr>
            <w:r>
              <w:t xml:space="preserve">$1.38 billion</w:t>
            </w:r>
          </w:p>
        </w:tc>
        <w:tc>
          <w:tcPr/>
          <w:p>
            <w:pPr>
              <w:pStyle w:val="Compact"/>
              <w:jc w:val="right"/>
            </w:pPr>
            <w:r>
              <w:t xml:space="preserve">Likely several times higher QoQ</w:t>
            </w:r>
          </w:p>
        </w:tc>
      </w:tr>
    </w:tbl>
    <w:p>
      <w:pPr>
        <w:pStyle w:val="BodyText"/>
      </w:pPr>
      <w:r>
        <w:t xml:space="preserve">MPC deliberately completed approximately 40% of its annual planned turnaround activity in the first quarter, positioning its system to run harder during the stronger second-quarter market. Management guided to 2.99 million bpd of total throughput, lower operating costs, and substantially lower turnaround expense. (</w:t>
      </w:r>
      <w:hyperlink r:id="rId12">
        <w:r>
          <w:rPr>
            <w:rStyle w:val="Hyperlink"/>
          </w:rPr>
          <w:t xml:space="preserve">ir.marathonpetroleum.com</w:t>
        </w:r>
      </w:hyperlink>
      <w:r>
        <w:t xml:space="preserve">)</w:t>
      </w:r>
    </w:p>
    <w:p>
      <w:r>
        <w:pict>
          <v:rect style="width:0;height:1.5pt" o:hralign="center" o:hrstd="t" o:hr="t"/>
        </w:pict>
      </w:r>
    </w:p>
    <w:bookmarkEnd w:id="13"/>
    <w:bookmarkStart w:id="16" w:name="Xb72803c01b7fc883d0ca367cc5ec272f03a6b0b"/>
    <w:p>
      <w:pPr>
        <w:pStyle w:val="Heading2"/>
      </w:pPr>
      <w:r>
        <w:t xml:space="preserve">1. Margin capture is the critical number</w:t>
      </w:r>
    </w:p>
    <w:p>
      <w:pPr>
        <w:pStyle w:val="FirstParagraph"/>
      </w:pPr>
      <w:r>
        <w:t xml:space="preserve">MPC’s June market-data package calculated a</w:t>
      </w:r>
      <w:r>
        <w:t xml:space="preserve"> </w:t>
      </w:r>
      <w:r>
        <w:rPr>
          <w:b/>
          <w:bCs/>
        </w:rPr>
        <w:t xml:space="preserve">hypothetical 2Q26 R&amp;M margin indicator of $8.743 billion</w:t>
      </w:r>
      <w:r>
        <w:t xml:space="preserve">, based on the company’s throughput guidance. That compares with an indicator of $4.589 billion in 1Q26 and reported R&amp;M margin of $4.550 billion, equivalent to approximately 99% capture. (</w:t>
      </w:r>
      <w:hyperlink r:id="rId14">
        <w:r>
          <w:rPr>
            <w:rStyle w:val="Hyperlink"/>
          </w:rPr>
          <w:t xml:space="preserve">s2.q4cdn.com</w:t>
        </w:r>
      </w:hyperlink>
      <w:r>
        <w:t xml:space="preserve">)</w:t>
      </w:r>
    </w:p>
    <w:p>
      <w:pPr>
        <w:pStyle w:val="BodyText"/>
      </w:pPr>
      <w:r>
        <w:t xml:space="preserve">Using MPC’s guidance:</w:t>
      </w:r>
    </w:p>
    <w:p>
      <w:pPr>
        <w:pStyle w:val="Compact"/>
        <w:numPr>
          <w:ilvl w:val="0"/>
          <w:numId w:val="1002"/>
        </w:numPr>
      </w:pPr>
      <w:r>
        <w:t xml:space="preserve">The indicator equates to roughly</w:t>
      </w:r>
      <w:r>
        <w:t xml:space="preserve"> </w:t>
      </w:r>
      <w:r>
        <w:rPr>
          <w:b/>
          <w:bCs/>
        </w:rPr>
        <w:t xml:space="preserve">$32.14 per barrel</w:t>
      </w:r>
    </w:p>
    <w:p>
      <w:pPr>
        <w:pStyle w:val="Compact"/>
        <w:numPr>
          <w:ilvl w:val="0"/>
          <w:numId w:val="1002"/>
        </w:numPr>
      </w:pPr>
      <w:r>
        <w:t xml:space="preserve">At</w:t>
      </w:r>
      <w:r>
        <w:t xml:space="preserve"> </w:t>
      </w:r>
      <w:r>
        <w:rPr>
          <w:b/>
          <w:bCs/>
        </w:rPr>
        <w:t xml:space="preserve">100% capture</w:t>
      </w:r>
      <w:r>
        <w:t xml:space="preserve">, simplified R&amp;M adjusted EBITDA math points to approximately</w:t>
      </w:r>
      <w:r>
        <w:t xml:space="preserve"> </w:t>
      </w:r>
      <w:r>
        <w:rPr>
          <w:b/>
          <w:bCs/>
        </w:rPr>
        <w:t xml:space="preserve">$5.6 billion</w:t>
      </w:r>
    </w:p>
    <w:p>
      <w:pPr>
        <w:pStyle w:val="Compact"/>
        <w:numPr>
          <w:ilvl w:val="0"/>
          <w:numId w:val="1002"/>
        </w:numPr>
      </w:pPr>
      <w:r>
        <w:t xml:space="preserve">At</w:t>
      </w:r>
      <w:r>
        <w:t xml:space="preserve"> </w:t>
      </w:r>
      <w:r>
        <w:rPr>
          <w:b/>
          <w:bCs/>
        </w:rPr>
        <w:t xml:space="preserve">95% capture</w:t>
      </w:r>
      <w:r>
        <w:t xml:space="preserve">, it points to roughly</w:t>
      </w:r>
      <w:r>
        <w:t xml:space="preserve"> </w:t>
      </w:r>
      <w:r>
        <w:rPr>
          <w:b/>
          <w:bCs/>
        </w:rPr>
        <w:t xml:space="preserve">$5.1 billion</w:t>
      </w:r>
    </w:p>
    <w:p>
      <w:pPr>
        <w:pStyle w:val="FirstParagraph"/>
      </w:pPr>
      <w:r>
        <w:t xml:space="preserve">These are directional estimates rather than forecasts because actual results also reflect product yields, secondary-product pricing, commercial optimization, inventory timing, derivatives, and other income.</w:t>
      </w:r>
    </w:p>
    <w:p>
      <w:pPr>
        <w:pStyle w:val="BodyText"/>
      </w:pPr>
      <w:r>
        <w:t xml:space="preserve">A useful sensitivity: every</w:t>
      </w:r>
      <w:r>
        <w:t xml:space="preserve"> </w:t>
      </w:r>
      <w:r>
        <w:rPr>
          <w:b/>
          <w:bCs/>
        </w:rPr>
        <w:t xml:space="preserve">five percentage points of capture</w:t>
      </w:r>
      <w:r>
        <w:t xml:space="preserve"> </w:t>
      </w:r>
      <w:r>
        <w:t xml:space="preserve">is worth about</w:t>
      </w:r>
      <w:r>
        <w:t xml:space="preserve"> </w:t>
      </w:r>
      <m:oMath>
        <m:r>
          <m:t>437</m:t>
        </m:r>
        <m:r>
          <m:t>m</m:t>
        </m:r>
        <m:r>
          <m:t>i</m:t>
        </m:r>
        <m:r>
          <m:t>l</m:t>
        </m:r>
        <m:r>
          <m:t>l</m:t>
        </m:r>
        <m:r>
          <m:t>i</m:t>
        </m:r>
        <m:r>
          <m:t>o</m:t>
        </m:r>
        <m:r>
          <m:t>n</m:t>
        </m:r>
        <m:r>
          <m:t>o</m:t>
        </m:r>
        <m:r>
          <m:t>f</m:t>
        </m:r>
        <m:r>
          <m:t>p</m:t>
        </m:r>
        <m:r>
          <m:t>r</m:t>
        </m:r>
        <m:r>
          <m:t>e</m:t>
        </m:r>
        <m:r>
          <m:t>t</m:t>
        </m:r>
        <m:r>
          <m:t>a</m:t>
        </m:r>
        <m:r>
          <m:t>x</m:t>
        </m:r>
        <m:r>
          <m:t>m</m:t>
        </m:r>
        <m:r>
          <m:t>a</m:t>
        </m:r>
        <m:r>
          <m:t>r</m:t>
        </m:r>
        <m:r>
          <m:t>g</m:t>
        </m:r>
        <m:r>
          <m:t>i</m:t>
        </m:r>
        <m:r>
          <m:t>n</m:t>
        </m:r>
        <m:r>
          <m:rPr>
            <m:sty m:val="p"/>
          </m:rPr>
          <m:t>*</m:t>
        </m:r>
        <m:r>
          <m:rPr>
            <m:sty m:val="p"/>
          </m:rPr>
          <m:t>*</m:t>
        </m:r>
        <m:r>
          <m:rPr>
            <m:sty m:val="p"/>
          </m:rPr>
          <m:t>,</m:t>
        </m:r>
        <m:r>
          <m:t>o</m:t>
        </m:r>
        <m:r>
          <m:t>r</m:t>
        </m:r>
        <m:r>
          <m:t>r</m:t>
        </m:r>
        <m:r>
          <m:t>o</m:t>
        </m:r>
        <m:r>
          <m:t>u</m:t>
        </m:r>
        <m:r>
          <m:t>g</m:t>
        </m:r>
        <m:r>
          <m:t>h</m:t>
        </m:r>
        <m:r>
          <m:t>l</m:t>
        </m:r>
        <m:r>
          <m:t>y</m:t>
        </m:r>
        <m:r>
          <m:rPr>
            <m:sty m:val="p"/>
          </m:rPr>
          <m:t>*</m:t>
        </m:r>
        <m:r>
          <m:rPr>
            <m:sty m:val="p"/>
          </m:rPr>
          <m:t>*</m:t>
        </m:r>
      </m:oMath>
      <w:r>
        <w:rPr>
          <w:b/>
          <w:bCs/>
        </w:rPr>
        <w:t xml:space="preserve">1.20 per share after tax</w:t>
      </w:r>
      <w:r>
        <w:t xml:space="preserve">, using an approximate 290 million share count. Thus, a print at 92% capture versus 102% could move EPS by more than $2 per share.</w:t>
      </w:r>
    </w:p>
    <w:bookmarkStart w:id="15" w:name="what-would-constitute-a-strong-result"/>
    <w:p>
      <w:pPr>
        <w:pStyle w:val="Heading3"/>
      </w:pPr>
      <w:r>
        <w:t xml:space="preserve">What would constitute a strong result?</w:t>
      </w:r>
    </w:p>
    <w:p>
      <w:pPr>
        <w:pStyle w:val="Compact"/>
        <w:numPr>
          <w:ilvl w:val="0"/>
          <w:numId w:val="1003"/>
        </w:numPr>
      </w:pPr>
      <w:r>
        <w:rPr>
          <w:b/>
          <w:bCs/>
        </w:rPr>
        <w:t xml:space="preserve">Bullish:</w:t>
      </w:r>
      <w:r>
        <w:t xml:space="preserve"> </w:t>
      </w:r>
      <w:r>
        <w:t xml:space="preserve">Capture at or above 100%, supported by crude sourcing and export optimization</w:t>
      </w:r>
    </w:p>
    <w:p>
      <w:pPr>
        <w:pStyle w:val="Compact"/>
        <w:numPr>
          <w:ilvl w:val="0"/>
          <w:numId w:val="1003"/>
        </w:numPr>
      </w:pPr>
      <w:r>
        <w:rPr>
          <w:b/>
          <w:bCs/>
        </w:rPr>
        <w:t xml:space="preserve">Acceptable:</w:t>
      </w:r>
      <w:r>
        <w:t xml:space="preserve"> </w:t>
      </w:r>
      <w:r>
        <w:t xml:space="preserve">Mid-to-high 90s capture with clean operations</w:t>
      </w:r>
    </w:p>
    <w:p>
      <w:pPr>
        <w:pStyle w:val="Compact"/>
        <w:numPr>
          <w:ilvl w:val="0"/>
          <w:numId w:val="1003"/>
        </w:numPr>
      </w:pPr>
      <w:r>
        <w:rPr>
          <w:b/>
          <w:bCs/>
        </w:rPr>
        <w:t xml:space="preserve">Disappointing:</w:t>
      </w:r>
      <w:r>
        <w:t xml:space="preserve"> </w:t>
      </w:r>
      <w:r>
        <w:t xml:space="preserve">Low-90s or worse without a clearly temporary explanation</w:t>
      </w:r>
    </w:p>
    <w:p>
      <w:r>
        <w:pict>
          <v:rect style="width:0;height:1.5pt" o:hralign="center" o:hrstd="t" o:hr="t"/>
        </w:pict>
      </w:r>
    </w:p>
    <w:bookmarkEnd w:id="15"/>
    <w:bookmarkEnd w:id="16"/>
    <w:bookmarkStart w:id="18" w:name="Xa29b09790f4cd0e26b3f0713033da60395637c3"/>
    <w:p>
      <w:pPr>
        <w:pStyle w:val="Heading2"/>
      </w:pPr>
      <w:r>
        <w:t xml:space="preserve">2. Derivatives could create substantial noise</w:t>
      </w:r>
    </w:p>
    <w:p>
      <w:pPr>
        <w:pStyle w:val="FirstParagraph"/>
      </w:pPr>
      <w:r>
        <w:t xml:space="preserve">MPC recorded approximately</w:t>
      </w:r>
      <w:r>
        <w:t xml:space="preserve"> </w:t>
      </w:r>
      <w:r>
        <w:rPr>
          <w:b/>
          <w:bCs/>
        </w:rPr>
        <w:t xml:space="preserve">$500 million of unrealized derivative losses in 1Q</w:t>
      </w:r>
      <w:r>
        <w:t xml:space="preserve">, including about $63 million in Midstream. Management said much of the R&amp;M timing impact should unwind as the corresponding physical barrels arrived in the second quarter. (</w:t>
      </w:r>
      <w:hyperlink r:id="rId17">
        <w:r>
          <w:rPr>
            <w:rStyle w:val="Hyperlink"/>
          </w:rPr>
          <w:t xml:space="preserve">fool.com</w:t>
        </w:r>
      </w:hyperlink>
      <w:r>
        <w:t xml:space="preserve">)</w:t>
      </w:r>
    </w:p>
    <w:p>
      <w:pPr>
        <w:pStyle w:val="BodyText"/>
      </w:pPr>
      <w:r>
        <w:t xml:space="preserve">This creates a potentially favorable 2Q bridge, but investors should distinguish between:</w:t>
      </w:r>
    </w:p>
    <w:p>
      <w:pPr>
        <w:pStyle w:val="Compact"/>
        <w:numPr>
          <w:ilvl w:val="0"/>
          <w:numId w:val="1004"/>
        </w:numPr>
      </w:pPr>
      <w:r>
        <w:t xml:space="preserve">Reversal of prior-quarter marks</w:t>
      </w:r>
    </w:p>
    <w:p>
      <w:pPr>
        <w:pStyle w:val="Compact"/>
        <w:numPr>
          <w:ilvl w:val="0"/>
          <w:numId w:val="1004"/>
        </w:numPr>
      </w:pPr>
      <w:r>
        <w:t xml:space="preserve">New hedge losses caused by continued volatility</w:t>
      </w:r>
    </w:p>
    <w:p>
      <w:pPr>
        <w:pStyle w:val="Compact"/>
        <w:numPr>
          <w:ilvl w:val="0"/>
          <w:numId w:val="1004"/>
        </w:numPr>
      </w:pPr>
      <w:r>
        <w:t xml:space="preserve">Gains embedded in physical crude or product positions</w:t>
      </w:r>
    </w:p>
    <w:p>
      <w:pPr>
        <w:pStyle w:val="Compact"/>
        <w:numPr>
          <w:ilvl w:val="0"/>
          <w:numId w:val="1004"/>
        </w:numPr>
      </w:pPr>
      <w:r>
        <w:t xml:space="preserve">The underlying commercial performance of the refining system</w:t>
      </w:r>
    </w:p>
    <w:p>
      <w:pPr>
        <w:pStyle w:val="FirstParagraph"/>
      </w:pPr>
      <w:r>
        <w:t xml:space="preserve">A headline EPS beat driven mainly by derivative timing would be lower quality than one driven by reliable throughput, favorable crude selection, and strong physical margin capture.</w:t>
      </w:r>
    </w:p>
    <w:p>
      <w:r>
        <w:pict>
          <v:rect style="width:0;height:1.5pt" o:hralign="center" o:hrstd="t" o:hr="t"/>
        </w:pict>
      </w:r>
    </w:p>
    <w:bookmarkEnd w:id="18"/>
    <w:bookmarkStart w:id="19" w:name="Xf599feecf542c1b929399564123b0edfa9b3293"/>
    <w:p>
      <w:pPr>
        <w:pStyle w:val="Heading2"/>
      </w:pPr>
      <w:r>
        <w:t xml:space="preserve">3. Operations must validate the earnings power</w:t>
      </w:r>
    </w:p>
    <w:p>
      <w:pPr>
        <w:pStyle w:val="FirstParagraph"/>
      </w:pPr>
      <w:r>
        <w:t xml:space="preserve">Management entered the quarter targeting approximately</w:t>
      </w:r>
      <w:r>
        <w:t xml:space="preserve"> </w:t>
      </w:r>
      <w:r>
        <w:rPr>
          <w:b/>
          <w:bCs/>
        </w:rPr>
        <w:t xml:space="preserve">94% crude utilization</w:t>
      </w:r>
      <w:r>
        <w:t xml:space="preserve">, following 89% utilization while completing heavy maintenance in 1Q. The company also reported its lowest first-quarter unplanned downtime of the decade and said the early turnaround schedule was intended to maximize availability during stronger markets. (</w:t>
      </w:r>
      <w:hyperlink r:id="rId12">
        <w:r>
          <w:rPr>
            <w:rStyle w:val="Hyperlink"/>
          </w:rPr>
          <w:t xml:space="preserve">ir.marathonpetroleum.com</w:t>
        </w:r>
      </w:hyperlink>
      <w:r>
        <w:t xml:space="preserve">)</w:t>
      </w:r>
    </w:p>
    <w:p>
      <w:pPr>
        <w:pStyle w:val="BodyText"/>
      </w:pPr>
      <w:r>
        <w:t xml:space="preserve">The most important operational questions are:</w:t>
      </w:r>
    </w:p>
    <w:p>
      <w:pPr>
        <w:pStyle w:val="Compact"/>
        <w:numPr>
          <w:ilvl w:val="0"/>
          <w:numId w:val="1005"/>
        </w:numPr>
      </w:pPr>
      <w:r>
        <w:t xml:space="preserve">Did utilization meet or exceed the roughly 94% plan?</w:t>
      </w:r>
    </w:p>
    <w:p>
      <w:pPr>
        <w:pStyle w:val="Compact"/>
        <w:numPr>
          <w:ilvl w:val="0"/>
          <w:numId w:val="1005"/>
        </w:numPr>
      </w:pPr>
      <w:r>
        <w:t xml:space="preserve">Was unplanned downtime minimal?</w:t>
      </w:r>
    </w:p>
    <w:p>
      <w:pPr>
        <w:pStyle w:val="Compact"/>
        <w:numPr>
          <w:ilvl w:val="0"/>
          <w:numId w:val="1005"/>
        </w:numPr>
      </w:pPr>
      <w:r>
        <w:t xml:space="preserve">Did operating costs remain near the $5.65-per-barrel guide?</w:t>
      </w:r>
    </w:p>
    <w:p>
      <w:pPr>
        <w:pStyle w:val="Compact"/>
        <w:numPr>
          <w:ilvl w:val="0"/>
          <w:numId w:val="1005"/>
        </w:numPr>
      </w:pPr>
      <w:r>
        <w:t xml:space="preserve">Was the</w:t>
      </w:r>
      <w:r>
        <w:t xml:space="preserve"> </w:t>
      </w:r>
      <w:r>
        <w:rPr>
          <w:b/>
          <w:bCs/>
        </w:rPr>
        <w:t xml:space="preserve">El Paso FCC/yield-improvement project</w:t>
      </w:r>
      <w:r>
        <w:t xml:space="preserve"> </w:t>
      </w:r>
      <w:r>
        <w:t xml:space="preserve">completed on schedule?</w:t>
      </w:r>
    </w:p>
    <w:p>
      <w:pPr>
        <w:pStyle w:val="Compact"/>
        <w:numPr>
          <w:ilvl w:val="0"/>
          <w:numId w:val="1005"/>
        </w:numPr>
      </w:pPr>
      <w:r>
        <w:t xml:space="preserve">Is the</w:t>
      </w:r>
      <w:r>
        <w:t xml:space="preserve"> </w:t>
      </w:r>
      <w:r>
        <w:rPr>
          <w:b/>
          <w:bCs/>
        </w:rPr>
        <w:t xml:space="preserve">Robinson jet-fuel flexibility project</w:t>
      </w:r>
      <w:r>
        <w:t xml:space="preserve"> </w:t>
      </w:r>
      <w:r>
        <w:t xml:space="preserve">still on track for 3Q26?</w:t>
      </w:r>
    </w:p>
    <w:p>
      <w:pPr>
        <w:pStyle w:val="FirstParagraph"/>
      </w:pPr>
      <w:r>
        <w:t xml:space="preserve">A modest volume miss could have an unusually large earnings impact because every lost barrel carried a very high potential margin this quarter.</w:t>
      </w:r>
    </w:p>
    <w:p>
      <w:r>
        <w:pict>
          <v:rect style="width:0;height:1.5pt" o:hralign="center" o:hrstd="t" o:hr="t"/>
        </w:pict>
      </w:r>
    </w:p>
    <w:bookmarkEnd w:id="19"/>
    <w:bookmarkStart w:id="20" w:name="X5a14e1f1700f4508f8131fac390ea82b625e74e"/>
    <w:p>
      <w:pPr>
        <w:pStyle w:val="Heading2"/>
      </w:pPr>
      <w:r>
        <w:t xml:space="preserve">4. Renewable diesel may become a meaningful positive swing factor</w:t>
      </w:r>
    </w:p>
    <w:p>
      <w:pPr>
        <w:pStyle w:val="FirstParagraph"/>
      </w:pPr>
      <w:r>
        <w:t xml:space="preserve">Renewable Diesel adjusted EBITDA improved to</w:t>
      </w:r>
      <w:r>
        <w:t xml:space="preserve"> </w:t>
      </w:r>
      <w:r>
        <w:rPr>
          <w:b/>
          <w:bCs/>
        </w:rPr>
        <w:t xml:space="preserve">$38 million in 1Q26</w:t>
      </w:r>
      <w:r>
        <w:t xml:space="preserve">, helped by stronger margins and recognition of clean-fuel production tax credits, despite planned Martinez downtime. Management expected Martinez utilization to recover into the low-90% range in 2Q. (</w:t>
      </w:r>
      <w:hyperlink r:id="rId12">
        <w:r>
          <w:rPr>
            <w:rStyle w:val="Hyperlink"/>
          </w:rPr>
          <w:t xml:space="preserve">ir.marathonpetroleum.com</w:t>
        </w:r>
      </w:hyperlink>
      <w:r>
        <w:t xml:space="preserve">)</w:t>
      </w:r>
    </w:p>
    <w:p>
      <w:pPr>
        <w:pStyle w:val="BodyText"/>
      </w:pPr>
      <w:r>
        <w:t xml:space="preserve">The second quarter featured stronger diesel economics, elevated RIN values, improved 45Z clarity, and restored Martinez operations. Investors should consequently expect a clear sequential improvement.</w:t>
      </w:r>
    </w:p>
    <w:p>
      <w:pPr>
        <w:pStyle w:val="BodyText"/>
      </w:pPr>
      <w:r>
        <w:t xml:space="preserve">Still, Renewable Diesel remains a secondary driver relative to refining. The key issue is whether the segment has become sustainably cash-positive rather than simply benefiting from a temporary regulatory and commodity spike.</w:t>
      </w:r>
    </w:p>
    <w:p>
      <w:r>
        <w:pict>
          <v:rect style="width:0;height:1.5pt" o:hralign="center" o:hrstd="t" o:hr="t"/>
        </w:pict>
      </w:r>
    </w:p>
    <w:bookmarkEnd w:id="20"/>
    <w:bookmarkStart w:id="22" w:name="X33e7fe65b3da43bb8564009dd865cbdb76ae63c"/>
    <w:p>
      <w:pPr>
        <w:pStyle w:val="Heading2"/>
      </w:pPr>
      <w:r>
        <w:t xml:space="preserve">5. Cash return could matter more than the EPS beat</w:t>
      </w:r>
    </w:p>
    <w:p>
      <w:pPr>
        <w:pStyle w:val="FirstParagraph"/>
      </w:pPr>
      <w:r>
        <w:t xml:space="preserve">MPC returned more than</w:t>
      </w:r>
      <w:r>
        <w:t xml:space="preserve"> </w:t>
      </w:r>
      <w:r>
        <w:rPr>
          <w:b/>
          <w:bCs/>
        </w:rPr>
        <w:t xml:space="preserve">$1 billion</w:t>
      </w:r>
      <w:r>
        <w:t xml:space="preserve"> </w:t>
      </w:r>
      <w:r>
        <w:t xml:space="preserve">in 1Q, including</w:t>
      </w:r>
      <w:r>
        <w:t xml:space="preserve"> </w:t>
      </w:r>
      <m:oMath>
        <m:r>
          <m:t>750</m:t>
        </m:r>
        <m:r>
          <m:t>m</m:t>
        </m:r>
        <m:r>
          <m:t>i</m:t>
        </m:r>
        <m:r>
          <m:t>l</m:t>
        </m:r>
        <m:r>
          <m:t>l</m:t>
        </m:r>
        <m:r>
          <m:t>i</m:t>
        </m:r>
        <m:r>
          <m:t>o</m:t>
        </m:r>
        <m:r>
          <m:t>n</m:t>
        </m:r>
        <m:r>
          <m:t>o</m:t>
        </m:r>
        <m:r>
          <m:t>f</m:t>
        </m:r>
        <m:r>
          <m:t>r</m:t>
        </m:r>
        <m:r>
          <m:t>e</m:t>
        </m:r>
        <m:r>
          <m:t>p</m:t>
        </m:r>
        <m:r>
          <m:t>u</m:t>
        </m:r>
        <m:r>
          <m:t>r</m:t>
        </m:r>
        <m:r>
          <m:t>c</m:t>
        </m:r>
        <m:r>
          <m:t>h</m:t>
        </m:r>
        <m:r>
          <m:t>a</m:t>
        </m:r>
        <m:r>
          <m:t>s</m:t>
        </m:r>
        <m:r>
          <m:t>e</m:t>
        </m:r>
        <m:r>
          <m:t>s</m:t>
        </m:r>
        <m:r>
          <m:rPr>
            <m:sty m:val="p"/>
          </m:rPr>
          <m:t>,</m:t>
        </m:r>
        <m:r>
          <m:t>a</m:t>
        </m:r>
        <m:r>
          <m:t>n</m:t>
        </m:r>
        <m:r>
          <m:t>d</m:t>
        </m:r>
        <m:r>
          <m:t>s</m:t>
        </m:r>
        <m:r>
          <m:t>u</m:t>
        </m:r>
        <m:r>
          <m:t>b</m:t>
        </m:r>
        <m:r>
          <m:t>s</m:t>
        </m:r>
        <m:r>
          <m:t>e</m:t>
        </m:r>
        <m:r>
          <m:t>q</m:t>
        </m:r>
        <m:r>
          <m:t>u</m:t>
        </m:r>
        <m:r>
          <m:t>e</m:t>
        </m:r>
        <m:r>
          <m:t>n</m:t>
        </m:r>
        <m:r>
          <m:t>t</m:t>
        </m:r>
        <m:r>
          <m:t>l</m:t>
        </m:r>
        <m:r>
          <m:t>y</m:t>
        </m:r>
        <m:r>
          <m:t>a</m:t>
        </m:r>
        <m:r>
          <m:t>d</m:t>
        </m:r>
        <m:r>
          <m:t>d</m:t>
        </m:r>
        <m:r>
          <m:t>e</m:t>
        </m:r>
        <m:r>
          <m:t>d</m:t>
        </m:r>
        <m:r>
          <m:t>a</m:t>
        </m:r>
        <m:r>
          <m:rPr>
            <m:sty m:val="p"/>
          </m:rPr>
          <m:t>*</m:t>
        </m:r>
        <m:r>
          <m:rPr>
            <m:sty m:val="p"/>
          </m:rPr>
          <m:t>*</m:t>
        </m:r>
      </m:oMath>
      <w:r>
        <w:t xml:space="preserve">5 billion authorization**, leaving pro forma authorization capacity of approximately</w:t>
      </w:r>
      <w:r>
        <w:t xml:space="preserve"> </w:t>
      </w:r>
      <w:r>
        <w:rPr>
          <w:b/>
          <w:bCs/>
        </w:rPr>
        <w:t xml:space="preserve">$8.6 billion</w:t>
      </w:r>
      <w:r>
        <w:t xml:space="preserve"> </w:t>
      </w:r>
      <w:r>
        <w:t xml:space="preserve">at March 31. Management’s framework is to use MPLX distributions to cover MPC’s standalone capital spending and dividend, then return excess capital primarily through repurchases. (</w:t>
      </w:r>
      <w:hyperlink r:id="rId12">
        <w:r>
          <w:rPr>
            <w:rStyle w:val="Hyperlink"/>
          </w:rPr>
          <w:t xml:space="preserve">ir.marathonpetroleum.com</w:t>
        </w:r>
      </w:hyperlink>
      <w:r>
        <w:t xml:space="preserve">)</w:t>
      </w:r>
    </w:p>
    <w:p>
      <w:pPr>
        <w:pStyle w:val="BodyText"/>
      </w:pPr>
      <w:r>
        <w:t xml:space="preserve">Given the quarter’s earnings environment, investors will likely look for a meaningful acceleration from 1Q’s buyback pace.</w:t>
      </w:r>
    </w:p>
    <w:bookmarkStart w:id="21" w:name="what-the-market-may-want"/>
    <w:p>
      <w:pPr>
        <w:pStyle w:val="Heading3"/>
      </w:pPr>
      <w:r>
        <w:t xml:space="preserve">What the market may want</w:t>
      </w:r>
    </w:p>
    <w:p>
      <w:pPr>
        <w:pStyle w:val="Compact"/>
        <w:numPr>
          <w:ilvl w:val="0"/>
          <w:numId w:val="1006"/>
        </w:numPr>
      </w:pPr>
      <w:r>
        <w:t xml:space="preserve">Repurchases comfortably above $1 billion</w:t>
      </w:r>
    </w:p>
    <w:p>
      <w:pPr>
        <w:pStyle w:val="Compact"/>
        <w:numPr>
          <w:ilvl w:val="0"/>
          <w:numId w:val="1006"/>
        </w:numPr>
      </w:pPr>
      <w:r>
        <w:t xml:space="preserve">A commitment to return excess cash rather than expand refining capital aggressively</w:t>
      </w:r>
    </w:p>
    <w:p>
      <w:pPr>
        <w:pStyle w:val="Compact"/>
        <w:numPr>
          <w:ilvl w:val="0"/>
          <w:numId w:val="1006"/>
        </w:numPr>
      </w:pPr>
      <w:r>
        <w:t xml:space="preserve">Evidence that buybacks remain disciplined despite MPC’s much higher share price</w:t>
      </w:r>
    </w:p>
    <w:p>
      <w:pPr>
        <w:pStyle w:val="Compact"/>
        <w:numPr>
          <w:ilvl w:val="0"/>
          <w:numId w:val="1006"/>
        </w:numPr>
      </w:pPr>
      <w:r>
        <w:t xml:space="preserve">No material increase to the $1.5 billion standalone 2026 capital plan</w:t>
      </w:r>
    </w:p>
    <w:p>
      <w:pPr>
        <w:pStyle w:val="FirstParagraph"/>
      </w:pPr>
      <w:r>
        <w:t xml:space="preserve">A huge cash-flow quarter paired with cautious repurchases could be interpreted negatively unless management provides a compelling balance-sheet or working-capital explanation.</w:t>
      </w:r>
    </w:p>
    <w:p>
      <w:r>
        <w:pict>
          <v:rect style="width:0;height:1.5pt" o:hralign="center" o:hrstd="t" o:hr="t"/>
        </w:pict>
      </w:r>
    </w:p>
    <w:bookmarkEnd w:id="21"/>
    <w:bookmarkEnd w:id="22"/>
    <w:bookmarkStart w:id="24" w:name="X6f320e622dd16ca3ff32017fcc9bd7ecb2b0378"/>
    <w:p>
      <w:pPr>
        <w:pStyle w:val="Heading2"/>
      </w:pPr>
      <w:r>
        <w:t xml:space="preserve">6. The 3Q outlook is the real stock-moving variable</w:t>
      </w:r>
    </w:p>
    <w:p>
      <w:pPr>
        <w:pStyle w:val="FirstParagraph"/>
      </w:pPr>
      <w:r>
        <w:t xml:space="preserve">The second-quarter benchmark setup is already visible. More important is management’s assessment of how much of the margin strength can carry into the second half.</w:t>
      </w:r>
    </w:p>
    <w:p>
      <w:pPr>
        <w:pStyle w:val="BodyText"/>
      </w:pPr>
      <w:r>
        <w:t xml:space="preserve">Fuel markets tightened further during July, with U.S. refining margins reaching record levels amid low inventories, strong exports, and continued Middle East supply disruptions. That supports an exceptionally strong start to 3Q, but it also raises the risks of demand destruction, political intervention, falling crude differentials, and abrupt normalization if disrupted global refining capacity returns. (</w:t>
      </w:r>
      <w:hyperlink r:id="rId23">
        <w:r>
          <w:rPr>
            <w:rStyle w:val="Hyperlink"/>
          </w:rPr>
          <w:t xml:space="preserve">marketscreener.com</w:t>
        </w:r>
      </w:hyperlink>
      <w:r>
        <w:t xml:space="preserve">)</w:t>
      </w:r>
    </w:p>
    <w:p>
      <w:pPr>
        <w:pStyle w:val="BodyText"/>
      </w:pPr>
      <w:r>
        <w:t xml:space="preserve">Listen for commentary on:</w:t>
      </w:r>
    </w:p>
    <w:p>
      <w:pPr>
        <w:pStyle w:val="Compact"/>
        <w:numPr>
          <w:ilvl w:val="0"/>
          <w:numId w:val="1007"/>
        </w:numPr>
      </w:pPr>
      <w:r>
        <w:t xml:space="preserve">Current gasoline, diesel, and jet demand</w:t>
      </w:r>
    </w:p>
    <w:p>
      <w:pPr>
        <w:pStyle w:val="Compact"/>
        <w:numPr>
          <w:ilvl w:val="0"/>
          <w:numId w:val="1007"/>
        </w:numPr>
      </w:pPr>
      <w:r>
        <w:t xml:space="preserve">Export demand and product-placement opportunities</w:t>
      </w:r>
    </w:p>
    <w:p>
      <w:pPr>
        <w:pStyle w:val="Compact"/>
        <w:numPr>
          <w:ilvl w:val="0"/>
          <w:numId w:val="1007"/>
        </w:numPr>
      </w:pPr>
      <w:r>
        <w:t xml:space="preserve">Availability of advantaged Canadian, Bakken, and other inland crude</w:t>
      </w:r>
    </w:p>
    <w:p>
      <w:pPr>
        <w:pStyle w:val="Compact"/>
        <w:numPr>
          <w:ilvl w:val="0"/>
          <w:numId w:val="1007"/>
        </w:numPr>
      </w:pPr>
      <w:r>
        <w:t xml:space="preserve">The effect of steep crude backwardation</w:t>
      </w:r>
    </w:p>
    <w:p>
      <w:pPr>
        <w:pStyle w:val="Compact"/>
        <w:numPr>
          <w:ilvl w:val="0"/>
          <w:numId w:val="1007"/>
        </w:numPr>
      </w:pPr>
      <w:r>
        <w:t xml:space="preserve">3Q turnaround requirements and utilization</w:t>
      </w:r>
    </w:p>
    <w:p>
      <w:pPr>
        <w:pStyle w:val="Compact"/>
        <w:numPr>
          <w:ilvl w:val="0"/>
          <w:numId w:val="1007"/>
        </w:numPr>
      </w:pPr>
      <w:r>
        <w:t xml:space="preserve">Whether capture can remain near 100% in an even more volatile market</w:t>
      </w:r>
    </w:p>
    <w:p>
      <w:r>
        <w:pict>
          <v:rect style="width:0;height:1.5pt" o:hralign="center" o:hrstd="t" o:hr="t"/>
        </w:pict>
      </w:r>
    </w:p>
    <w:bookmarkEnd w:id="24"/>
    <w:bookmarkStart w:id="28" w:name="earnings-scorecard"/>
    <w:p>
      <w:pPr>
        <w:pStyle w:val="Heading2"/>
      </w:pPr>
      <w:r>
        <w:t xml:space="preserve">Earnings scorecard</w:t>
      </w:r>
    </w:p>
    <w:bookmarkStart w:id="25" w:name="bull-case"/>
    <w:p>
      <w:pPr>
        <w:pStyle w:val="Heading3"/>
      </w:pPr>
      <w:r>
        <w:t xml:space="preserve">Bull case</w:t>
      </w:r>
    </w:p>
    <w:p>
      <w:pPr>
        <w:pStyle w:val="Compact"/>
        <w:numPr>
          <w:ilvl w:val="0"/>
          <w:numId w:val="1008"/>
        </w:numPr>
      </w:pPr>
      <w:r>
        <w:t xml:space="preserve">Adjusted EPS above the upper end of the published estimate range</w:t>
      </w:r>
    </w:p>
    <w:p>
      <w:pPr>
        <w:pStyle w:val="Compact"/>
        <w:numPr>
          <w:ilvl w:val="0"/>
          <w:numId w:val="1008"/>
        </w:numPr>
      </w:pPr>
      <w:r>
        <w:t xml:space="preserve">R&amp;M capture at or above 100%</w:t>
      </w:r>
    </w:p>
    <w:p>
      <w:pPr>
        <w:pStyle w:val="Compact"/>
        <w:numPr>
          <w:ilvl w:val="0"/>
          <w:numId w:val="1008"/>
        </w:numPr>
      </w:pPr>
      <w:r>
        <w:t xml:space="preserve">Throughput near 3.0 million bpd with strong reliability</w:t>
      </w:r>
    </w:p>
    <w:p>
      <w:pPr>
        <w:pStyle w:val="Compact"/>
        <w:numPr>
          <w:ilvl w:val="0"/>
          <w:numId w:val="1008"/>
        </w:numPr>
      </w:pPr>
      <w:r>
        <w:t xml:space="preserve">Material derivative reversal without new offsetting losses</w:t>
      </w:r>
    </w:p>
    <w:p>
      <w:pPr>
        <w:pStyle w:val="Compact"/>
        <w:numPr>
          <w:ilvl w:val="0"/>
          <w:numId w:val="1008"/>
        </w:numPr>
      </w:pPr>
      <w:r>
        <w:t xml:space="preserve">Renewable Diesel EBITDA improves sharply</w:t>
      </w:r>
    </w:p>
    <w:p>
      <w:pPr>
        <w:pStyle w:val="Compact"/>
        <w:numPr>
          <w:ilvl w:val="0"/>
          <w:numId w:val="1008"/>
        </w:numPr>
      </w:pPr>
      <w:r>
        <w:t xml:space="preserve">Buybacks accelerate</w:t>
      </w:r>
    </w:p>
    <w:p>
      <w:pPr>
        <w:pStyle w:val="Compact"/>
        <w:numPr>
          <w:ilvl w:val="0"/>
          <w:numId w:val="1008"/>
        </w:numPr>
      </w:pPr>
      <w:r>
        <w:t xml:space="preserve">3Q throughput and margin commentary remains highly constructive</w:t>
      </w:r>
    </w:p>
    <w:bookmarkEnd w:id="25"/>
    <w:bookmarkStart w:id="26" w:name="base-case"/>
    <w:p>
      <w:pPr>
        <w:pStyle w:val="Heading3"/>
      </w:pPr>
      <w:r>
        <w:t xml:space="preserve">Base case</w:t>
      </w:r>
    </w:p>
    <w:p>
      <w:pPr>
        <w:pStyle w:val="Compact"/>
        <w:numPr>
          <w:ilvl w:val="0"/>
          <w:numId w:val="1009"/>
        </w:numPr>
      </w:pPr>
      <w:r>
        <w:t xml:space="preserve">Adjusted EPS within the roughly</w:t>
      </w:r>
      <w:r>
        <w:t xml:space="preserve"> </w:t>
      </w:r>
      <m:oMath>
        <m:r>
          <m:t>12</m:t>
        </m:r>
        <m:r>
          <m:rPr>
            <m:sty m:val="p"/>
          </m:rPr>
          <m:t>−</m:t>
        </m:r>
      </m:oMath>
      <w:r>
        <w:t xml:space="preserve">14 range</w:t>
      </w:r>
    </w:p>
    <w:p>
      <w:pPr>
        <w:pStyle w:val="Compact"/>
        <w:numPr>
          <w:ilvl w:val="0"/>
          <w:numId w:val="1009"/>
        </w:numPr>
      </w:pPr>
      <w:r>
        <w:t xml:space="preserve">Capture in the mid-to-high 90s</w:t>
      </w:r>
    </w:p>
    <w:p>
      <w:pPr>
        <w:pStyle w:val="Compact"/>
        <w:numPr>
          <w:ilvl w:val="0"/>
          <w:numId w:val="1009"/>
        </w:numPr>
      </w:pPr>
      <w:r>
        <w:t xml:space="preserve">Operations broadly match guidance</w:t>
      </w:r>
    </w:p>
    <w:p>
      <w:pPr>
        <w:pStyle w:val="Compact"/>
        <w:numPr>
          <w:ilvl w:val="0"/>
          <w:numId w:val="1009"/>
        </w:numPr>
      </w:pPr>
      <w:r>
        <w:t xml:space="preserve">Strong cash generation and at least $1 billion of capital return</w:t>
      </w:r>
    </w:p>
    <w:p>
      <w:pPr>
        <w:pStyle w:val="Compact"/>
        <w:numPr>
          <w:ilvl w:val="0"/>
          <w:numId w:val="1009"/>
        </w:numPr>
      </w:pPr>
      <w:r>
        <w:t xml:space="preserve">Management remains constructive but cautions against annualizing peak margins</w:t>
      </w:r>
    </w:p>
    <w:bookmarkEnd w:id="26"/>
    <w:bookmarkStart w:id="27" w:name="bear-case"/>
    <w:p>
      <w:pPr>
        <w:pStyle w:val="Heading3"/>
      </w:pPr>
      <w:r>
        <w:t xml:space="preserve">Bear case</w:t>
      </w:r>
    </w:p>
    <w:p>
      <w:pPr>
        <w:pStyle w:val="Compact"/>
        <w:numPr>
          <w:ilvl w:val="0"/>
          <w:numId w:val="1010"/>
        </w:numPr>
      </w:pPr>
      <w:r>
        <w:t xml:space="preserve">Capture falls into the low 90s or below</w:t>
      </w:r>
    </w:p>
    <w:p>
      <w:pPr>
        <w:pStyle w:val="Compact"/>
        <w:numPr>
          <w:ilvl w:val="0"/>
          <w:numId w:val="1010"/>
        </w:numPr>
      </w:pPr>
      <w:r>
        <w:t xml:space="preserve">Unplanned outages limit throughput</w:t>
      </w:r>
    </w:p>
    <w:p>
      <w:pPr>
        <w:pStyle w:val="Compact"/>
        <w:numPr>
          <w:ilvl w:val="0"/>
          <w:numId w:val="1010"/>
        </w:numPr>
      </w:pPr>
      <w:r>
        <w:t xml:space="preserve">New hedge losses offset the expected derivative unwind</w:t>
      </w:r>
    </w:p>
    <w:p>
      <w:pPr>
        <w:pStyle w:val="Compact"/>
        <w:numPr>
          <w:ilvl w:val="0"/>
          <w:numId w:val="1010"/>
        </w:numPr>
      </w:pPr>
      <w:r>
        <w:t xml:space="preserve">Buybacks remain close to the 1Q pace despite much stronger cash flow</w:t>
      </w:r>
    </w:p>
    <w:p>
      <w:pPr>
        <w:pStyle w:val="Compact"/>
        <w:numPr>
          <w:ilvl w:val="0"/>
          <w:numId w:val="1010"/>
        </w:numPr>
      </w:pPr>
      <w:r>
        <w:t xml:space="preserve">Management signals demand weakness or significant 3Q maintenance</w:t>
      </w:r>
    </w:p>
    <w:p>
      <w:pPr>
        <w:pStyle w:val="Compact"/>
        <w:numPr>
          <w:ilvl w:val="0"/>
          <w:numId w:val="1010"/>
        </w:numPr>
      </w:pPr>
      <w:r>
        <w:t xml:space="preserve">Earnings beat consensus, but forward commentary implies 2Q was the peak</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rPr>
          <w:b/>
          <w:bCs/>
        </w:rPr>
        <w:t xml:space="preserve">MPC is set up for a blockbuster quarter, but that is no longer a contrarian view.</w:t>
      </w:r>
      <w:r>
        <w:t xml:space="preserve"> </w:t>
      </w:r>
      <w:r>
        <w:t xml:space="preserve">The company’s own benchmark data supports R&amp;M EBITDA above $5 billion if capture remains near historical levels, putting published EPS expectations in the low-to-mid teens within reach.</w:t>
      </w:r>
    </w:p>
    <w:p>
      <w:pPr>
        <w:pStyle w:val="BodyText"/>
      </w:pPr>
      <w:r>
        <w:t xml:space="preserve">The highest-quality result would combine:</w:t>
      </w:r>
    </w:p>
    <w:p>
      <w:pPr>
        <w:pStyle w:val="Compact"/>
        <w:numPr>
          <w:ilvl w:val="0"/>
          <w:numId w:val="1011"/>
        </w:numPr>
      </w:pPr>
      <w:r>
        <w:rPr>
          <w:b/>
          <w:bCs/>
        </w:rPr>
        <w:t xml:space="preserve">Approximately 100% margin capture</w:t>
      </w:r>
    </w:p>
    <w:p>
      <w:pPr>
        <w:pStyle w:val="Compact"/>
        <w:numPr>
          <w:ilvl w:val="0"/>
          <w:numId w:val="1011"/>
        </w:numPr>
      </w:pPr>
      <w:r>
        <w:rPr>
          <w:b/>
          <w:bCs/>
        </w:rPr>
        <w:t xml:space="preserve">Throughput and costs in line with guidance</w:t>
      </w:r>
    </w:p>
    <w:p>
      <w:pPr>
        <w:pStyle w:val="Compact"/>
        <w:numPr>
          <w:ilvl w:val="0"/>
          <w:numId w:val="1011"/>
        </w:numPr>
      </w:pPr>
      <w:r>
        <w:rPr>
          <w:b/>
          <w:bCs/>
        </w:rPr>
        <w:t xml:space="preserve">A clean derivative bridge</w:t>
      </w:r>
    </w:p>
    <w:p>
      <w:pPr>
        <w:pStyle w:val="Compact"/>
        <w:numPr>
          <w:ilvl w:val="0"/>
          <w:numId w:val="1011"/>
        </w:numPr>
      </w:pPr>
      <w:r>
        <w:rPr>
          <w:b/>
          <w:bCs/>
        </w:rPr>
        <w:t xml:space="preserve">Accelerated share repurchases</w:t>
      </w:r>
    </w:p>
    <w:p>
      <w:pPr>
        <w:pStyle w:val="Compact"/>
        <w:numPr>
          <w:ilvl w:val="0"/>
          <w:numId w:val="1011"/>
        </w:numPr>
      </w:pPr>
      <w:r>
        <w:rPr>
          <w:b/>
          <w:bCs/>
        </w:rPr>
        <w:t xml:space="preserve">A constructive 3Q outlook</w:t>
      </w:r>
    </w:p>
    <w:p>
      <w:pPr>
        <w:pStyle w:val="FirstParagraph"/>
      </w:pPr>
      <w:r>
        <w:t xml:space="preserve">With MPC already up sharply in 2026, the stock’s reaction is likely to depend less on the absolute EPS number and more on whether management demonstrates that exceptional market margins are translating into equally exceptional—and promptly returned—free cash flow.</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ir.marathonpetroleum.com/investor/news-releases/news-details/2026/Marathon-Petroleum-Corp--Reports-First-Quarter-2026-Results/default.aspx?utm_source=openai" TargetMode="External" /><Relationship Type="http://schemas.openxmlformats.org/officeDocument/2006/relationships/hyperlink" Id="rId9" Target="https://ir.marathonpetroleum.com/investor/news-releases/news-details/2026/Marathon-Petroleum-Corp--to-Report-Second-Quarter-Financial-Results-on-August-4-2026/default.aspx?utm_source=openai" TargetMode="External" /><Relationship Type="http://schemas.openxmlformats.org/officeDocument/2006/relationships/hyperlink" Id="rId14" Target="https://s2.q4cdn.com/142437514/files/doc_financials/2026/q2/Market-Data-Summary-at-6-30-2026.pdf" TargetMode="External" /><Relationship Type="http://schemas.openxmlformats.org/officeDocument/2006/relationships/hyperlink" Id="rId17" Target="https://www.fool.com/earnings/call-transcripts/2026/05/05/marathon-mpc-q1-2026-earnings-call-transcript/?utm_source=openai" TargetMode="External" /><Relationship Type="http://schemas.openxmlformats.org/officeDocument/2006/relationships/hyperlink" Id="rId10" Target="https://www.marketbeat.com/earnings/reports/2026-8-4-marathon-petroleum-co-stock/" TargetMode="External" /><Relationship Type="http://schemas.openxmlformats.org/officeDocument/2006/relationships/hyperlink" Id="rId23" Target="https://www.marketscreener.com/news/us-refiner-margins-hit-new-records-as-fuel-shortage-concerns-grow-ce7f5ed3dd8df12c?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ir.marathonpetroleum.com/investor/news-releases/news-details/2026/Marathon-Petroleum-Corp--Reports-First-Quarter-2026-Results/default.aspx?utm_source=openai" TargetMode="External" /><Relationship Type="http://schemas.openxmlformats.org/officeDocument/2006/relationships/hyperlink" Id="rId9" Target="https://ir.marathonpetroleum.com/investor/news-releases/news-details/2026/Marathon-Petroleum-Corp--to-Report-Second-Quarter-Financial-Results-on-August-4-2026/default.aspx?utm_source=openai" TargetMode="External" /><Relationship Type="http://schemas.openxmlformats.org/officeDocument/2006/relationships/hyperlink" Id="rId14" Target="https://s2.q4cdn.com/142437514/files/doc_financials/2026/q2/Market-Data-Summary-at-6-30-2026.pdf" TargetMode="External" /><Relationship Type="http://schemas.openxmlformats.org/officeDocument/2006/relationships/hyperlink" Id="rId17" Target="https://www.fool.com/earnings/call-transcripts/2026/05/05/marathon-mpc-q1-2026-earnings-call-transcript/?utm_source=openai" TargetMode="External" /><Relationship Type="http://schemas.openxmlformats.org/officeDocument/2006/relationships/hyperlink" Id="rId10" Target="https://www.marketbeat.com/earnings/reports/2026-8-4-marathon-petroleum-co-stock/" TargetMode="External" /><Relationship Type="http://schemas.openxmlformats.org/officeDocument/2006/relationships/hyperlink" Id="rId23" Target="https://www.marketscreener.com/news/us-refiner-margins-hit-new-records-as-fuel-shortage-concerns-grow-ce7f5ed3dd8df12c?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2026-08-04T01:09:52Z</dcterms:created>
  <dcterms:modified xsi:type="dcterms:W3CDTF">2026-08-04T01:09:52Z</dcterms:modified>
</cp:coreProperties>
</file>

<file path=docProps/custom.xml><?xml version="1.0" encoding="utf-8"?>
<Properties xmlns="http://schemas.openxmlformats.org/officeDocument/2006/custom-properties" xmlns:vt="http://schemas.openxmlformats.org/officeDocument/2006/docPropsVTypes"/>
</file>