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0a729f03a2c6aeb12cba7c6e97ff282dadcdc9c"/>
    <w:p>
      <w:pPr>
        <w:pStyle w:val="Heading1"/>
      </w:pPr>
      <w:r>
        <w:t xml:space="preserve">Marathon Petroleum (NYSE: MPC) — 2Q26 Earnings Preview</w:t>
      </w:r>
    </w:p>
    <w:p>
      <w:pPr>
        <w:pStyle w:val="BlockText"/>
      </w:pPr>
      <w:r>
        <w:rPr>
          <w:b/>
          <w:bCs/>
        </w:rPr>
        <w:t xml:space="preserve">Date check:</w:t>
      </w:r>
      <w:r>
        <w:t xml:space="preserve"> </w:t>
      </w:r>
      <w:r>
        <w:t xml:space="preserve">Today is</w:t>
      </w:r>
      <w:r>
        <w:t xml:space="preserve"> </w:t>
      </w:r>
      <w:r>
        <w:rPr>
          <w:b/>
          <w:bCs/>
        </w:rPr>
        <w:t xml:space="preserve">Tuesday, August 4, 2026</w:t>
      </w:r>
      <w:r>
        <w:t xml:space="preserve">. Your prompt refers to August 4 as “tomorrow,” but lists the earnings event as</w:t>
      </w:r>
      <w:r>
        <w:t xml:space="preserve"> </w:t>
      </w:r>
      <w:r>
        <w:rPr>
          <w:b/>
          <w:bCs/>
        </w:rPr>
        <w:t xml:space="preserve">2026Q2 Earnings Call on August 4</w:t>
      </w:r>
      <w:r>
        <w:t xml:space="preserve">. This preview therefore treats the report as</w:t>
      </w:r>
      <w:r>
        <w:t xml:space="preserve"> </w:t>
      </w:r>
      <w:r>
        <w:rPr>
          <w:b/>
          <w:bCs/>
        </w:rPr>
        <w:t xml:space="preserve">imminent/today</w:t>
      </w:r>
      <w:r>
        <w:t xml:space="preserve">, prior to the release.</w:t>
      </w:r>
    </w:p>
    <w:bookmarkStart w:id="9" w:name="bottom-line"/>
    <w:p>
      <w:pPr>
        <w:pStyle w:val="Heading2"/>
      </w:pPr>
      <w:r>
        <w:t xml:space="preserve">Bottom line</w:t>
      </w:r>
    </w:p>
    <w:p>
      <w:pPr>
        <w:pStyle w:val="FirstParagraph"/>
      </w:pPr>
      <w:r>
        <w:t xml:space="preserve">MPC enters 2Q26 earnings with a notably favorable setup: refining margins strengthened materially, the company deliberately pulled maintenance forward into 1Q, and management guided to higher 2Q refinery utilization with lower turnaround spending. The key question is therefore less whether results improve sequentially and more whether</w:t>
      </w:r>
      <w:r>
        <w:t xml:space="preserve"> </w:t>
      </w:r>
      <w:r>
        <w:rPr>
          <w:b/>
          <w:bCs/>
        </w:rPr>
        <w:t xml:space="preserve">MPC converted an unusually strong refining environment into capture and free cash flow at a level that validates the stock’s recent run</w:t>
      </w:r>
      <w:r>
        <w:t xml:space="preserve">.</w:t>
      </w:r>
    </w:p>
    <w:p>
      <w:pPr>
        <w:pStyle w:val="BodyText"/>
      </w:pPr>
      <w:r>
        <w:t xml:space="preserve">The shares closed at</w:t>
      </w:r>
      <w:r>
        <w:t xml:space="preserve"> </w:t>
      </w:r>
      <w:r>
        <w:rPr>
          <w:b/>
          <w:bCs/>
        </w:rPr>
        <w:t xml:space="preserve">$307.07 on August 3</w:t>
      </w:r>
      <w:r>
        <w:t xml:space="preserve">, up roughly</w:t>
      </w:r>
      <w:r>
        <w:t xml:space="preserve"> </w:t>
      </w:r>
      <w:r>
        <w:rPr>
          <w:b/>
          <w:bCs/>
        </w:rPr>
        <w:t xml:space="preserve">29% from April 1</w:t>
      </w:r>
      <w:r>
        <w:t xml:space="preserve"> </w:t>
      </w:r>
      <w:r>
        <w:t xml:space="preserve">and nearly</w:t>
      </w:r>
      <w:r>
        <w:t xml:space="preserve"> </w:t>
      </w:r>
      <w:r>
        <w:rPr>
          <w:b/>
          <w:bCs/>
        </w:rPr>
        <w:t xml:space="preserve">18% since the 1Q earnings release</w:t>
      </w:r>
      <w:r>
        <w:t xml:space="preserve">, before pulling back about 3% from the July 31 close. That raises the hurdle: investors will likely want confirmation of strong operational execution, cash returns, and confidence that elevated margins can persist beyond the near-term geopolitical disruption.</w:t>
      </w:r>
    </w:p>
    <w:bookmarkEnd w:id="9"/>
    <w:bookmarkStart w:id="13" w:name="what-matters-most-this-quarter"/>
    <w:p>
      <w:pPr>
        <w:pStyle w:val="Heading2"/>
      </w:pPr>
      <w:r>
        <w:t xml:space="preserve">What matters most this quarter</w:t>
      </w:r>
    </w:p>
    <w:bookmarkStart w:id="10" w:name="Xcc474cd630fabc71b5e22efebaaca784662f146"/>
    <w:p>
      <w:pPr>
        <w:pStyle w:val="Heading3"/>
      </w:pPr>
      <w:r>
        <w:t xml:space="preserve">1. Refining earnings should inflect sharply higher</w:t>
      </w:r>
    </w:p>
    <w:p>
      <w:pPr>
        <w:pStyle w:val="FirstParagraph"/>
      </w:pPr>
      <w:r>
        <w:t xml:space="preserve">The most important moving pieces are strongly favorable versus 1Q:</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company outlook</w:t>
            </w:r>
          </w:p>
        </w:tc>
        <w:tc>
          <w:tcPr/>
          <w:p>
            <w:pPr>
              <w:pStyle w:val="Compact"/>
            </w:pPr>
            <w:r>
              <w:t xml:space="preserve">Read-through</w:t>
            </w:r>
          </w:p>
        </w:tc>
      </w:tr>
      <w:tr>
        <w:tc>
          <w:tcPr/>
          <w:p>
            <w:pPr>
              <w:pStyle w:val="Compact"/>
            </w:pPr>
            <w:r>
              <w:t xml:space="preserve">R&amp;M adjusted EBITDA</w:t>
            </w:r>
          </w:p>
        </w:tc>
        <w:tc>
          <w:tcPr/>
          <w:p>
            <w:pPr>
              <w:pStyle w:val="Compact"/>
              <w:jc w:val="right"/>
            </w:pPr>
            <w:r>
              <w:t xml:space="preserve">$1.38B</w:t>
            </w:r>
          </w:p>
        </w:tc>
        <w:tc>
          <w:tcPr/>
          <w:p>
            <w:pPr>
              <w:pStyle w:val="Compact"/>
              <w:jc w:val="right"/>
            </w:pPr>
            <w:r>
              <w:t xml:space="preserve">—</w:t>
            </w:r>
          </w:p>
        </w:tc>
        <w:tc>
          <w:tcPr/>
          <w:p>
            <w:pPr>
              <w:pStyle w:val="Compact"/>
            </w:pPr>
            <w:r>
              <w:t xml:space="preserve">Starting point was already solid</w:t>
            </w:r>
          </w:p>
        </w:tc>
      </w:tr>
      <w:tr>
        <w:tc>
          <w:tcPr/>
          <w:p>
            <w:pPr>
              <w:pStyle w:val="Compact"/>
            </w:pPr>
            <w:r>
              <w:t xml:space="preserve">R&amp;M margin</w:t>
            </w:r>
          </w:p>
        </w:tc>
        <w:tc>
          <w:tcPr/>
          <w:p>
            <w:pPr>
              <w:pStyle w:val="Compact"/>
              <w:jc w:val="right"/>
            </w:pPr>
            <w:r>
              <w:t xml:space="preserve">$17.74/bbl</w:t>
            </w:r>
          </w:p>
        </w:tc>
        <w:tc>
          <w:tcPr/>
          <w:p>
            <w:pPr>
              <w:pStyle w:val="Compact"/>
              <w:jc w:val="right"/>
            </w:pPr>
            <w:r>
              <w:t xml:space="preserve">—</w:t>
            </w:r>
          </w:p>
        </w:tc>
        <w:tc>
          <w:tcPr/>
          <w:p>
            <w:pPr>
              <w:pStyle w:val="Compact"/>
            </w:pPr>
            <w:r>
              <w:t xml:space="preserve">Higher cracks and export economics should support upside</w:t>
            </w:r>
          </w:p>
        </w:tc>
      </w:tr>
      <w:tr>
        <w:tc>
          <w:tcPr/>
          <w:p>
            <w:pPr>
              <w:pStyle w:val="Compact"/>
            </w:pPr>
            <w:r>
              <w:t xml:space="preserve">Net refinery throughput</w:t>
            </w:r>
          </w:p>
        </w:tc>
        <w:tc>
          <w:tcPr/>
          <w:p>
            <w:pPr>
              <w:pStyle w:val="Compact"/>
              <w:jc w:val="right"/>
            </w:pPr>
            <w:r>
              <w:t xml:space="preserve">2.85 MMBbl/d</w:t>
            </w:r>
          </w:p>
        </w:tc>
        <w:tc>
          <w:tcPr/>
          <w:p>
            <w:pPr>
              <w:pStyle w:val="Compact"/>
              <w:jc w:val="right"/>
            </w:pPr>
            <w:r>
              <w:t xml:space="preserve">2.99 MMBbl/d total throughput</w:t>
            </w:r>
          </w:p>
        </w:tc>
        <w:tc>
          <w:tcPr/>
          <w:p>
            <w:pPr>
              <w:pStyle w:val="Compact"/>
            </w:pPr>
            <w:r>
              <w:t xml:space="preserve">Higher run rates after front-loaded maintenance</w:t>
            </w:r>
          </w:p>
        </w:tc>
      </w:tr>
      <w:tr>
        <w:tc>
          <w:tcPr/>
          <w:p>
            <w:pPr>
              <w:pStyle w:val="Compact"/>
            </w:pPr>
            <w:r>
              <w:t xml:space="preserve">Crude utilization</w:t>
            </w:r>
          </w:p>
        </w:tc>
        <w:tc>
          <w:tcPr/>
          <w:p>
            <w:pPr>
              <w:pStyle w:val="Compact"/>
              <w:jc w:val="right"/>
            </w:pPr>
            <w:r>
              <w:t xml:space="preserve">89%</w:t>
            </w:r>
          </w:p>
        </w:tc>
        <w:tc>
          <w:tcPr/>
          <w:p>
            <w:pPr>
              <w:pStyle w:val="Compact"/>
              <w:jc w:val="right"/>
            </w:pPr>
            <w:r>
              <w:t xml:space="preserve">~94% implied by management commentary</w:t>
            </w:r>
          </w:p>
        </w:tc>
        <w:tc>
          <w:tcPr/>
          <w:p>
            <w:pPr>
              <w:pStyle w:val="Compact"/>
            </w:pPr>
            <w:r>
              <w:t xml:space="preserve">Operational leverage is meaningful</w:t>
            </w:r>
          </w:p>
        </w:tc>
      </w:tr>
      <w:tr>
        <w:tc>
          <w:tcPr/>
          <w:p>
            <w:pPr>
              <w:pStyle w:val="Compact"/>
            </w:pPr>
            <w:r>
              <w:t xml:space="preserve">Refining operating cost</w:t>
            </w:r>
          </w:p>
        </w:tc>
        <w:tc>
          <w:tcPr/>
          <w:p>
            <w:pPr>
              <w:pStyle w:val="Compact"/>
              <w:jc w:val="right"/>
            </w:pPr>
            <w:r>
              <w:t xml:space="preserve">$6.23/bbl</w:t>
            </w:r>
          </w:p>
        </w:tc>
        <w:tc>
          <w:tcPr/>
          <w:p>
            <w:pPr>
              <w:pStyle w:val="Compact"/>
              <w:jc w:val="right"/>
            </w:pPr>
            <w:r>
              <w:t xml:space="preserve">$5.65/bbl</w:t>
            </w:r>
          </w:p>
        </w:tc>
        <w:tc>
          <w:tcPr/>
          <w:p>
            <w:pPr>
              <w:pStyle w:val="Compact"/>
            </w:pPr>
            <w:r>
              <w:t xml:space="preserve">Lower project/turnaround-related cost burden</w:t>
            </w:r>
          </w:p>
        </w:tc>
      </w:tr>
      <w:tr>
        <w:tc>
          <w:tcPr/>
          <w:p>
            <w:pPr>
              <w:pStyle w:val="Compact"/>
            </w:pPr>
            <w:r>
              <w:t xml:space="preserve">Planned turnaround cost</w:t>
            </w:r>
          </w:p>
        </w:tc>
        <w:tc>
          <w:tcPr/>
          <w:p>
            <w:pPr>
              <w:pStyle w:val="Compact"/>
              <w:jc w:val="right"/>
            </w:pPr>
            <w:r>
              <w:t xml:space="preserve">$530M</w:t>
            </w:r>
          </w:p>
        </w:tc>
        <w:tc>
          <w:tcPr/>
          <w:p>
            <w:pPr>
              <w:pStyle w:val="Compact"/>
              <w:jc w:val="right"/>
            </w:pPr>
            <w:r>
              <w:t xml:space="preserve">$300M</w:t>
            </w:r>
          </w:p>
        </w:tc>
        <w:tc>
          <w:tcPr/>
          <w:p>
            <w:pPr>
              <w:pStyle w:val="Compact"/>
            </w:pPr>
            <w:r>
              <w:t xml:space="preserve">Major sequential earnings tailwind</w:t>
            </w:r>
          </w:p>
        </w:tc>
      </w:tr>
    </w:tbl>
    <w:p>
      <w:pPr>
        <w:pStyle w:val="BodyText"/>
      </w:pPr>
      <w:r>
        <w:t xml:space="preserve">MPC completed roughly</w:t>
      </w:r>
      <w:r>
        <w:t xml:space="preserve"> </w:t>
      </w:r>
      <w:r>
        <w:rPr>
          <w:b/>
          <w:bCs/>
        </w:rPr>
        <w:t xml:space="preserve">40% of its full-year planned turnaround activity in 1Q</w:t>
      </w:r>
      <w:r>
        <w:t xml:space="preserve">, specifically to enter the stronger seasonal refining period with better availability. That decision should be central to the 2Q result: a strong quarter should show up in both higher throughput and lower turnaround expense.</w:t>
      </w:r>
    </w:p>
    <w:p>
      <w:pPr>
        <w:pStyle w:val="BodyText"/>
      </w:pPr>
      <w:r>
        <w:t xml:space="preserve">Management’s 2Q throughput guide of</w:t>
      </w:r>
      <w:r>
        <w:t xml:space="preserve"> </w:t>
      </w:r>
      <w:r>
        <w:rPr>
          <w:b/>
          <w:bCs/>
        </w:rPr>
        <w:t xml:space="preserve">2.99 MMBbl/d</w:t>
      </w:r>
      <w:r>
        <w:t xml:space="preserve"> </w:t>
      </w:r>
      <w:r>
        <w:t xml:space="preserve">is especially important. Achieving it would demonstrate that reliability initiatives and front-loaded maintenance translated into actual operating availability rather than merely shifting costs across quarters.</w:t>
      </w:r>
    </w:p>
    <w:bookmarkEnd w:id="10"/>
    <w:bookmarkStart w:id="11" w:name="Xcdd4d40720b55837d2779a64cbc8440daa01eec"/>
    <w:p>
      <w:pPr>
        <w:pStyle w:val="Heading3"/>
      </w:pPr>
      <w:r>
        <w:t xml:space="preserve">2. Capture—not just benchmark cracks—will determine the quality of the beat</w:t>
      </w:r>
    </w:p>
    <w:p>
      <w:pPr>
        <w:pStyle w:val="FirstParagraph"/>
      </w:pPr>
      <w:r>
        <w:t xml:space="preserve">MPC reported</w:t>
      </w:r>
      <w:r>
        <w:t xml:space="preserve"> </w:t>
      </w:r>
      <w:r>
        <w:rPr>
          <w:b/>
          <w:bCs/>
        </w:rPr>
        <w:t xml:space="preserve">99% refining capture in 1Q</w:t>
      </w:r>
      <w:r>
        <w:t xml:space="preserve">, despite volatility in secondary products and derivative timing effects. Management said 1Q capture would have exceeded 100% absent those factors.</w:t>
      </w:r>
    </w:p>
    <w:p>
      <w:pPr>
        <w:pStyle w:val="BodyText"/>
      </w:pPr>
      <w:r>
        <w:t xml:space="preserve">For 2Q, the company has several potential capture tailwinds:</w:t>
      </w:r>
    </w:p>
    <w:p>
      <w:pPr>
        <w:pStyle w:val="Compact"/>
        <w:numPr>
          <w:ilvl w:val="0"/>
          <w:numId w:val="1001"/>
        </w:numPr>
      </w:pPr>
      <w:r>
        <w:t xml:space="preserve">Greater access to advantaged U.S. and Canadian inland crude;</w:t>
      </w:r>
    </w:p>
    <w:p>
      <w:pPr>
        <w:pStyle w:val="Compact"/>
        <w:numPr>
          <w:ilvl w:val="0"/>
          <w:numId w:val="1001"/>
        </w:numPr>
      </w:pPr>
      <w:r>
        <w:t xml:space="preserve">Strong Gulf Coast export opportunities;</w:t>
      </w:r>
    </w:p>
    <w:p>
      <w:pPr>
        <w:pStyle w:val="Compact"/>
        <w:numPr>
          <w:ilvl w:val="0"/>
          <w:numId w:val="1001"/>
        </w:numPr>
      </w:pPr>
      <w:r>
        <w:t xml:space="preserve">A system configured to maximize diesel and jet fuel output;</w:t>
      </w:r>
    </w:p>
    <w:p>
      <w:pPr>
        <w:pStyle w:val="Compact"/>
        <w:numPr>
          <w:ilvl w:val="0"/>
          <w:numId w:val="1001"/>
        </w:numPr>
      </w:pPr>
      <w:r>
        <w:t xml:space="preserve">Benefits from Garyville’s new jet-flexibility project;</w:t>
      </w:r>
    </w:p>
    <w:p>
      <w:pPr>
        <w:pStyle w:val="Compact"/>
        <w:numPr>
          <w:ilvl w:val="0"/>
          <w:numId w:val="1001"/>
        </w:numPr>
      </w:pPr>
      <w:r>
        <w:t xml:space="preserve">Strong West Coast positioning amid structurally tight regional supply;</w:t>
      </w:r>
    </w:p>
    <w:p>
      <w:pPr>
        <w:pStyle w:val="Compact"/>
        <w:numPr>
          <w:ilvl w:val="0"/>
          <w:numId w:val="1001"/>
        </w:numPr>
      </w:pPr>
      <w:r>
        <w:t xml:space="preserve">The expected reversal of a portion of 1Q derivative timing effects.</w:t>
      </w:r>
    </w:p>
    <w:p>
      <w:pPr>
        <w:pStyle w:val="FirstParagraph"/>
      </w:pPr>
      <w:r>
        <w:t xml:space="preserve">The risk is that high headline crack spreads do not translate proportionately into MPC’s realized margins. Investors should focus on</w:t>
      </w:r>
      <w:r>
        <w:t xml:space="preserve"> </w:t>
      </w:r>
      <w:r>
        <w:rPr>
          <w:b/>
          <w:bCs/>
        </w:rPr>
        <w:t xml:space="preserve">R&amp;M margin per barrel, capture rate, and regional EBITDA per barrel</w:t>
      </w:r>
      <w:r>
        <w:t xml:space="preserve">, rather than relying solely on the broader macro backdrop.</w:t>
      </w:r>
    </w:p>
    <w:bookmarkEnd w:id="11"/>
    <w:bookmarkStart w:id="12" w:name="Xda6286f7e4805672dda103ebdb572af05777ced"/>
    <w:p>
      <w:pPr>
        <w:pStyle w:val="Heading3"/>
      </w:pPr>
      <w:r>
        <w:t xml:space="preserve">3. Derivative unwind could create a meaningful reported uplift—but should be separated from underlying operations</w:t>
      </w:r>
    </w:p>
    <w:p>
      <w:pPr>
        <w:pStyle w:val="FirstParagraph"/>
      </w:pPr>
      <w:r>
        <w:t xml:space="preserve">Management disclosed approximately</w:t>
      </w:r>
      <w:r>
        <w:t xml:space="preserve"> </w:t>
      </w:r>
      <w:r>
        <w:rPr>
          <w:b/>
          <w:bCs/>
        </w:rPr>
        <w:t xml:space="preserve">$500 million of unrealized derivative losses in 1Q</w:t>
      </w:r>
      <w:r>
        <w:t xml:space="preserve">, associated with an inventory-hedging program amid extreme commodity volatility. It indicated that much of the effect should unwind as the related physical barrels are realized in 2Q.</w:t>
      </w:r>
    </w:p>
    <w:p>
      <w:pPr>
        <w:pStyle w:val="BodyText"/>
      </w:pPr>
      <w:r>
        <w:t xml:space="preserve">This creates a potentially important source of sequential earnings improvement. However, the market should distinguish between:</w:t>
      </w:r>
    </w:p>
    <w:p>
      <w:pPr>
        <w:pStyle w:val="Compact"/>
        <w:numPr>
          <w:ilvl w:val="0"/>
          <w:numId w:val="1002"/>
        </w:numPr>
      </w:pPr>
      <w:r>
        <w:rPr>
          <w:b/>
          <w:bCs/>
        </w:rPr>
        <w:t xml:space="preserve">Underlying refining performance:</w:t>
      </w:r>
      <w:r>
        <w:t xml:space="preserve"> </w:t>
      </w:r>
      <w:r>
        <w:t xml:space="preserve">margins, capture, utilization, and cost control; and</w:t>
      </w:r>
    </w:p>
    <w:p>
      <w:pPr>
        <w:pStyle w:val="Compact"/>
        <w:numPr>
          <w:ilvl w:val="0"/>
          <w:numId w:val="1002"/>
        </w:numPr>
      </w:pPr>
      <w:r>
        <w:rPr>
          <w:b/>
          <w:bCs/>
        </w:rPr>
        <w:t xml:space="preserve">Timing-related derivative recovery:</w:t>
      </w:r>
      <w:r>
        <w:t xml:space="preserve"> </w:t>
      </w:r>
      <w:r>
        <w:t xml:space="preserve">favorable for reported results and cash flow, but not necessarily recurring operating upside.</w:t>
      </w:r>
    </w:p>
    <w:p>
      <w:pPr>
        <w:pStyle w:val="FirstParagraph"/>
      </w:pPr>
      <w:r>
        <w:t xml:space="preserve">A large 2Q beat driven principally by derivative reversal would still be positive, but a stronger-quality outcome would combine that tailwind with high capture and sustained regional margin outperformance.</w:t>
      </w:r>
    </w:p>
    <w:bookmarkEnd w:id="12"/>
    <w:bookmarkEnd w:id="13"/>
    <w:bookmarkStart w:id="17" w:name="regional-considerations"/>
    <w:p>
      <w:pPr>
        <w:pStyle w:val="Heading2"/>
      </w:pPr>
      <w:r>
        <w:t xml:space="preserve">Regional considerations</w:t>
      </w:r>
    </w:p>
    <w:bookmarkStart w:id="14" w:name="X18c554c327db0b7eba708ca27be43539483f931"/>
    <w:p>
      <w:pPr>
        <w:pStyle w:val="Heading3"/>
      </w:pPr>
      <w:r>
        <w:t xml:space="preserve">Gulf Coast: export leverage and jet optionality</w:t>
      </w:r>
    </w:p>
    <w:p>
      <w:pPr>
        <w:pStyle w:val="FirstParagraph"/>
      </w:pPr>
      <w:r>
        <w:t xml:space="preserve">The Gulf Coast is likely the largest contributor to upside. In 1Q, Gulf Coast adjusted EBITDA reached</w:t>
      </w:r>
      <w:r>
        <w:t xml:space="preserve"> </w:t>
      </w:r>
      <w:r>
        <w:rPr>
          <w:b/>
          <w:bCs/>
        </w:rPr>
        <w:t xml:space="preserve">$6.20/bbl</w:t>
      </w:r>
      <w:r>
        <w:t xml:space="preserve">, compared with just $0.74/bbl a year earlier, as MPC benefited from higher margins and improved commercial execution.</w:t>
      </w:r>
    </w:p>
    <w:p>
      <w:pPr>
        <w:pStyle w:val="BodyText"/>
      </w:pPr>
      <w:r>
        <w:t xml:space="preserve">Key factors for 2Q:</w:t>
      </w:r>
    </w:p>
    <w:p>
      <w:pPr>
        <w:pStyle w:val="Compact"/>
        <w:numPr>
          <w:ilvl w:val="0"/>
          <w:numId w:val="1003"/>
        </w:numPr>
      </w:pPr>
      <w:r>
        <w:t xml:space="preserve">Export demand for gasoline, diesel, and jet;</w:t>
      </w:r>
    </w:p>
    <w:p>
      <w:pPr>
        <w:pStyle w:val="Compact"/>
        <w:numPr>
          <w:ilvl w:val="0"/>
          <w:numId w:val="1003"/>
        </w:numPr>
      </w:pPr>
      <w:r>
        <w:t xml:space="preserve">Ability to run more advantaged Canadian and domestic feedstocks;</w:t>
      </w:r>
    </w:p>
    <w:p>
      <w:pPr>
        <w:pStyle w:val="Compact"/>
        <w:numPr>
          <w:ilvl w:val="0"/>
          <w:numId w:val="1003"/>
        </w:numPr>
      </w:pPr>
      <w:r>
        <w:t xml:space="preserve">The completed Garyville project, which adds more than</w:t>
      </w:r>
      <w:r>
        <w:t xml:space="preserve"> </w:t>
      </w:r>
      <w:r>
        <w:rPr>
          <w:b/>
          <w:bCs/>
        </w:rPr>
        <w:t xml:space="preserve">30 Mbbl/d of incremental jet-production capability</w:t>
      </w:r>
      <w:r>
        <w:t xml:space="preserve">;</w:t>
      </w:r>
    </w:p>
    <w:p>
      <w:pPr>
        <w:pStyle w:val="Compact"/>
        <w:numPr>
          <w:ilvl w:val="0"/>
          <w:numId w:val="1003"/>
        </w:numPr>
      </w:pPr>
      <w:r>
        <w:t xml:space="preserve">Progress on the El Paso FCC/yield-improvement project, targeted for completion in 2Q.</w:t>
      </w:r>
    </w:p>
    <w:bookmarkEnd w:id="14"/>
    <w:bookmarkStart w:id="15" w:name="Xb123e31d0280e26075dd298ec7ca3e981242c45"/>
    <w:p>
      <w:pPr>
        <w:pStyle w:val="Heading3"/>
      </w:pPr>
      <w:r>
        <w:t xml:space="preserve">Mid-Continent: likely volume and margin recovery</w:t>
      </w:r>
    </w:p>
    <w:p>
      <w:pPr>
        <w:pStyle w:val="FirstParagraph"/>
      </w:pPr>
      <w:r>
        <w:t xml:space="preserve">The Mid-Con was the weak link in 1Q on EBITDA per barrel, as maintenance activity and lower volumes offset improved market margins. Management entered 2Q expecting stronger availability, while industry conditions pointed to tight gasoline and diesel inventories and strong agricultural demand.</w:t>
      </w:r>
    </w:p>
    <w:p>
      <w:pPr>
        <w:pStyle w:val="BodyText"/>
      </w:pPr>
      <w:r>
        <w:t xml:space="preserve">This region is an important swing factor: a rebound in Mid-Con utilization and EBITDA/bbl would support the argument that 1Q weakness was transitory and maintenance-driven.</w:t>
      </w:r>
    </w:p>
    <w:bookmarkEnd w:id="15"/>
    <w:bookmarkStart w:id="16" w:name="X2c25e7cdfadc6f9b053875e64e6c0cf45ead094"/>
    <w:p>
      <w:pPr>
        <w:pStyle w:val="Heading3"/>
      </w:pPr>
      <w:r>
        <w:t xml:space="preserve">West Coast: still structurally constructive, but highly volatile</w:t>
      </w:r>
    </w:p>
    <w:p>
      <w:pPr>
        <w:pStyle w:val="FirstParagraph"/>
      </w:pPr>
      <w:r>
        <w:t xml:space="preserve">MPC’s West Coast segment generated</w:t>
      </w:r>
      <w:r>
        <w:t xml:space="preserve"> </w:t>
      </w:r>
      <w:r>
        <w:rPr>
          <w:b/>
          <w:bCs/>
        </w:rPr>
        <w:t xml:space="preserve">$11.61/bbl of adjusted EBITDA in 1Q</w:t>
      </w:r>
      <w:r>
        <w:t xml:space="preserve">, aided by a strong margin backdrop and minimal turnaround activity. Management has been constructive on continued West Coast tightness, reflecting reduced imported supply and regional refinery constraints.</w:t>
      </w:r>
    </w:p>
    <w:p>
      <w:pPr>
        <w:pStyle w:val="BodyText"/>
      </w:pPr>
      <w:r>
        <w:t xml:space="preserve">The main issue for investors is whether those margins remained elevated through the quarter, particularly given sharp moves in crude prices and product cracks. West Coast results have potential to surprise in either direction because of the region’s extreme sensitivity to supply disruptions and import economics.</w:t>
      </w:r>
    </w:p>
    <w:bookmarkEnd w:id="16"/>
    <w:bookmarkEnd w:id="17"/>
    <w:bookmarkStart w:id="18" w:name="X4f2ddc3ebefa21be67aec1c9377cf7371204fa4"/>
    <w:p>
      <w:pPr>
        <w:pStyle w:val="Heading2"/>
      </w:pPr>
      <w:r>
        <w:t xml:space="preserve">Midstream: the stabilizer and a key part of the capital-return thesis</w:t>
      </w:r>
    </w:p>
    <w:p>
      <w:pPr>
        <w:pStyle w:val="FirstParagraph"/>
      </w:pPr>
      <w:r>
        <w:t xml:space="preserve">MPLX remains central to MPC’s through-cycle investment case. Management expects MPLX to support</w:t>
      </w:r>
      <w:r>
        <w:t xml:space="preserve"> </w:t>
      </w:r>
      <w:r>
        <w:rPr>
          <w:b/>
          <w:bCs/>
        </w:rPr>
        <w:t xml:space="preserve">12.5% annual distribution growth to MPC in both 2026 and 2027</w:t>
      </w:r>
      <w:r>
        <w:t xml:space="preserve">, underpinned by mid-single-digit adjusted EBITDA growth and a growth-capex program concentrated in natural gas and NGL infrastructure.</w:t>
      </w:r>
    </w:p>
    <w:p>
      <w:pPr>
        <w:pStyle w:val="BodyText"/>
      </w:pPr>
      <w:r>
        <w:t xml:space="preserve">For 2Q, investors should watch:</w:t>
      </w:r>
    </w:p>
    <w:p>
      <w:pPr>
        <w:pStyle w:val="Compact"/>
        <w:numPr>
          <w:ilvl w:val="0"/>
          <w:numId w:val="1004"/>
        </w:numPr>
      </w:pPr>
      <w:r>
        <w:t xml:space="preserve">Whether derivative losses that reduced 1Q Midstream EBITDA recur or reverse;</w:t>
      </w:r>
    </w:p>
    <w:p>
      <w:pPr>
        <w:pStyle w:val="Compact"/>
        <w:numPr>
          <w:ilvl w:val="0"/>
          <w:numId w:val="1004"/>
        </w:numPr>
      </w:pPr>
      <w:r>
        <w:t xml:space="preserve">Ramp activity at the</w:t>
      </w:r>
      <w:r>
        <w:t xml:space="preserve"> </w:t>
      </w:r>
      <w:r>
        <w:rPr>
          <w:b/>
          <w:bCs/>
        </w:rPr>
        <w:t xml:space="preserve">Secretariat I</w:t>
      </w:r>
      <w:r>
        <w:t xml:space="preserve"> </w:t>
      </w:r>
      <w:r>
        <w:t xml:space="preserve">processing facility;</w:t>
      </w:r>
    </w:p>
    <w:p>
      <w:pPr>
        <w:pStyle w:val="Compact"/>
        <w:numPr>
          <w:ilvl w:val="0"/>
          <w:numId w:val="1004"/>
        </w:numPr>
      </w:pPr>
      <w:r>
        <w:t xml:space="preserve">Timing for</w:t>
      </w:r>
      <w:r>
        <w:t xml:space="preserve"> </w:t>
      </w:r>
      <w:r>
        <w:rPr>
          <w:b/>
          <w:bCs/>
        </w:rPr>
        <w:t xml:space="preserve">Harmon Creek III</w:t>
      </w:r>
      <w:r>
        <w:t xml:space="preserve">, still expected in 3Q;</w:t>
      </w:r>
    </w:p>
    <w:p>
      <w:pPr>
        <w:pStyle w:val="Compact"/>
        <w:numPr>
          <w:ilvl w:val="0"/>
          <w:numId w:val="1004"/>
        </w:numPr>
      </w:pPr>
      <w:r>
        <w:t xml:space="preserve">Progress toward fourth-quarter startup at the</w:t>
      </w:r>
      <w:r>
        <w:t xml:space="preserve"> </w:t>
      </w:r>
      <w:r>
        <w:rPr>
          <w:b/>
          <w:bCs/>
        </w:rPr>
        <w:t xml:space="preserve">Titan</w:t>
      </w:r>
      <w:r>
        <w:t xml:space="preserve"> </w:t>
      </w:r>
      <w:r>
        <w:t xml:space="preserve">sour-gas-treatment expansion;</w:t>
      </w:r>
    </w:p>
    <w:p>
      <w:pPr>
        <w:pStyle w:val="Compact"/>
        <w:numPr>
          <w:ilvl w:val="0"/>
          <w:numId w:val="1004"/>
        </w:numPr>
      </w:pPr>
      <w:r>
        <w:t xml:space="preserve">Execution and commercialization updates for Gulf Coast fractionation and LPG export projects.</w:t>
      </w:r>
    </w:p>
    <w:p>
      <w:pPr>
        <w:pStyle w:val="FirstParagraph"/>
      </w:pPr>
      <w:r>
        <w:t xml:space="preserve">The Midstream business gives MPC a more durable cash-flow base than a pure refiner, helping underwrite dividends and repurchases even if refining margins normalize.</w:t>
      </w:r>
    </w:p>
    <w:bookmarkEnd w:id="18"/>
    <w:bookmarkStart w:id="19" w:name="Xb8d074f88951aba7ea608f37fc3df6176eddbea"/>
    <w:p>
      <w:pPr>
        <w:pStyle w:val="Heading2"/>
      </w:pPr>
      <w:r>
        <w:t xml:space="preserve">Renewable diesel: improving, but still not the core earnings driver</w:t>
      </w:r>
    </w:p>
    <w:p>
      <w:pPr>
        <w:pStyle w:val="FirstParagraph"/>
      </w:pPr>
      <w:r>
        <w:t xml:space="preserve">Renewable Diesel returned to positive adjusted EBITDA of</w:t>
      </w:r>
      <w:r>
        <w:t xml:space="preserve"> </w:t>
      </w:r>
      <w:r>
        <w:rPr>
          <w:b/>
          <w:bCs/>
        </w:rPr>
        <w:t xml:space="preserve">$38 million in 1Q</w:t>
      </w:r>
      <w:r>
        <w:t xml:space="preserve">, versus a $42 million loss a year earlier. The improvement reflected better margins and regulatory clarity around 45Z clean-fuel credits, partly offset by planned downtime at Martinez Renewables.</w:t>
      </w:r>
    </w:p>
    <w:p>
      <w:pPr>
        <w:pStyle w:val="BodyText"/>
      </w:pPr>
      <w:r>
        <w:t xml:space="preserve">For 2Q, management targeted</w:t>
      </w:r>
      <w:r>
        <w:t xml:space="preserve"> </w:t>
      </w:r>
      <w:r>
        <w:rPr>
          <w:b/>
          <w:bCs/>
        </w:rPr>
        <w:t xml:space="preserve">low-90% utilization</w:t>
      </w:r>
      <w:r>
        <w:t xml:space="preserve"> </w:t>
      </w:r>
      <w:r>
        <w:t xml:space="preserve">at Martinez following its turnaround. Investors should look for:</w:t>
      </w:r>
    </w:p>
    <w:p>
      <w:pPr>
        <w:pStyle w:val="Compact"/>
        <w:numPr>
          <w:ilvl w:val="0"/>
          <w:numId w:val="1005"/>
        </w:numPr>
      </w:pPr>
      <w:r>
        <w:t xml:space="preserve">Whether utilization reached that target;</w:t>
      </w:r>
    </w:p>
    <w:p>
      <w:pPr>
        <w:pStyle w:val="Compact"/>
        <w:numPr>
          <w:ilvl w:val="0"/>
          <w:numId w:val="1005"/>
        </w:numPr>
      </w:pPr>
      <w:r>
        <w:t xml:space="preserve">The ongoing contribution of renewable diesel and RIN economics;</w:t>
      </w:r>
    </w:p>
    <w:p>
      <w:pPr>
        <w:pStyle w:val="Compact"/>
        <w:numPr>
          <w:ilvl w:val="0"/>
          <w:numId w:val="1005"/>
        </w:numPr>
      </w:pPr>
      <w:r>
        <w:t xml:space="preserve">Whether 45Z benefits are recurring at the expected level;</w:t>
      </w:r>
    </w:p>
    <w:p>
      <w:pPr>
        <w:pStyle w:val="Compact"/>
        <w:numPr>
          <w:ilvl w:val="0"/>
          <w:numId w:val="1005"/>
        </w:numPr>
      </w:pPr>
      <w:r>
        <w:t xml:space="preserve">Any commentary on policy, credit-market, or feedstock-price uncertainty.</w:t>
      </w:r>
    </w:p>
    <w:p>
      <w:pPr>
        <w:pStyle w:val="FirstParagraph"/>
      </w:pPr>
      <w:r>
        <w:t xml:space="preserve">This remains a smaller contributor relative to refining and MPLX, but a clean operational quarter would remove a historical source of earnings volatility.</w:t>
      </w:r>
    </w:p>
    <w:bookmarkEnd w:id="19"/>
    <w:bookmarkStart w:id="20" w:name="X7efbe91d3214a018a3a72119d1ca8ff1acab07a"/>
    <w:p>
      <w:pPr>
        <w:pStyle w:val="Heading2"/>
      </w:pPr>
      <w:r>
        <w:t xml:space="preserve">Cash flow and capital return: perhaps the most important “quality” metric</w:t>
      </w:r>
    </w:p>
    <w:p>
      <w:pPr>
        <w:pStyle w:val="FirstParagraph"/>
      </w:pPr>
      <w:r>
        <w:t xml:space="preserve">MPC returned more than</w:t>
      </w:r>
      <w:r>
        <w:t xml:space="preserve"> </w:t>
      </w:r>
      <m:oMath>
        <m:r>
          <m:t>1.0</m:t>
        </m:r>
        <m:r>
          <m:t>b</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1</m:t>
        </m:r>
        <m:r>
          <m:t>Q</m:t>
        </m:r>
        <m:r>
          <m:rPr>
            <m:sty m:val="p"/>
          </m:rPr>
          <m:t>,</m:t>
        </m:r>
        <m:r>
          <m:t>i</m:t>
        </m:r>
        <m:r>
          <m:t>n</m:t>
        </m:r>
        <m:r>
          <m:t>c</m:t>
        </m:r>
        <m:r>
          <m:t>l</m:t>
        </m:r>
        <m:r>
          <m:t>u</m:t>
        </m:r>
        <m:r>
          <m:t>d</m:t>
        </m:r>
        <m:r>
          <m:t>i</m:t>
        </m:r>
        <m:r>
          <m:t>n</m:t>
        </m:r>
        <m:r>
          <m:t>g</m:t>
        </m:r>
        <m:r>
          <m:rPr>
            <m:sty m:val="p"/>
          </m:rPr>
          <m:t>*</m:t>
        </m:r>
        <m:r>
          <m:rPr>
            <m:sty m:val="p"/>
          </m:rPr>
          <m:t>*</m:t>
        </m:r>
      </m:oMath>
      <w:r>
        <w:rPr>
          <w:b/>
          <w:bCs/>
        </w:rPr>
        <w:t xml:space="preserve">750 million of share repurchases</w:t>
      </w:r>
      <w:r>
        <w:t xml:space="preserve">, and authorized an additional</w:t>
      </w:r>
      <w:r>
        <w:t xml:space="preserve"> </w:t>
      </w:r>
      <m:oMath>
        <m:r>
          <m:t>5</m:t>
        </m:r>
        <m:r>
          <m:t>b</m:t>
        </m:r>
        <m:r>
          <m:t>i</m:t>
        </m:r>
        <m:r>
          <m:t>l</m:t>
        </m:r>
        <m:r>
          <m:t>l</m:t>
        </m:r>
        <m:r>
          <m:t>i</m:t>
        </m:r>
        <m:r>
          <m:t>o</m:t>
        </m:r>
        <m:r>
          <m:t>n</m:t>
        </m:r>
        <m:r>
          <m:rPr>
            <m:sty m:val="p"/>
          </m:rPr>
          <m:t>*</m:t>
        </m:r>
        <m:r>
          <m:rPr>
            <m:sty m:val="p"/>
          </m:rPr>
          <m:t>*</m:t>
        </m:r>
        <m:r>
          <m:t>b</m:t>
        </m:r>
        <m:r>
          <m:t>u</m:t>
        </m:r>
        <m:r>
          <m:t>y</m:t>
        </m:r>
        <m:r>
          <m:t>b</m:t>
        </m:r>
        <m:r>
          <m:t>a</m:t>
        </m:r>
        <m:r>
          <m:t>c</m:t>
        </m:r>
        <m:r>
          <m:t>k</m:t>
        </m:r>
        <m:r>
          <m:t>p</m:t>
        </m:r>
        <m:r>
          <m:t>r</m:t>
        </m:r>
        <m:r>
          <m:t>o</m:t>
        </m:r>
        <m:r>
          <m:t>g</m:t>
        </m:r>
        <m:r>
          <m:t>r</m:t>
        </m:r>
        <m:r>
          <m:t>a</m:t>
        </m:r>
        <m:r>
          <m:t>m</m:t>
        </m:r>
        <m:r>
          <m:rPr>
            <m:sty m:val="p"/>
          </m:rPr>
          <m:t>.</m:t>
        </m:r>
        <m:r>
          <m:t>A</m:t>
        </m:r>
        <m:r>
          <m:t>t</m:t>
        </m:r>
        <m:r>
          <m:t>M</m:t>
        </m:r>
        <m:r>
          <m:t>a</m:t>
        </m:r>
        <m:r>
          <m:t>r</m:t>
        </m:r>
        <m:r>
          <m:t>c</m:t>
        </m:r>
        <m:r>
          <m:t>h</m:t>
        </m:r>
        <m:r>
          <m:t>31</m:t>
        </m:r>
        <m:r>
          <m:rPr>
            <m:sty m:val="p"/>
          </m:rPr>
          <m:t>,</m:t>
        </m:r>
        <m:r>
          <m:t>t</m:t>
        </m:r>
        <m:r>
          <m:t>h</m:t>
        </m:r>
        <m:r>
          <m:t>e</m:t>
        </m:r>
        <m:r>
          <m:t>c</m:t>
        </m:r>
        <m:r>
          <m:t>o</m:t>
        </m:r>
        <m:r>
          <m:t>m</m:t>
        </m:r>
        <m:r>
          <m:t>p</m:t>
        </m:r>
        <m:r>
          <m:t>a</m:t>
        </m:r>
        <m:r>
          <m:t>n</m:t>
        </m:r>
        <m:r>
          <m:t>y</m:t>
        </m:r>
        <m:r>
          <m:t>h</m:t>
        </m:r>
        <m:r>
          <m:t>a</m:t>
        </m:r>
        <m:r>
          <m:t>d</m:t>
        </m:r>
        <m:r>
          <m:rPr>
            <m:sty m:val="p"/>
          </m:rPr>
          <m:t>*</m:t>
        </m:r>
        <m:r>
          <m:rPr>
            <m:sty m:val="p"/>
          </m:rPr>
          <m:t>*</m:t>
        </m:r>
      </m:oMath>
      <w:r>
        <w:rPr>
          <w:b/>
          <w:bCs/>
        </w:rPr>
        <w:t xml:space="preserve">8.6 billion</w:t>
      </w:r>
      <w:r>
        <w:t xml:space="preserve"> </w:t>
      </w:r>
      <w:r>
        <w:t xml:space="preserve">of repurchase capacity after the new authorization.</w:t>
      </w:r>
    </w:p>
    <w:p>
      <w:pPr>
        <w:pStyle w:val="BodyText"/>
      </w:pPr>
      <w:r>
        <w:t xml:space="preserve">The capital-return backdrop is favorable:</w:t>
      </w:r>
    </w:p>
    <w:p>
      <w:pPr>
        <w:pStyle w:val="Compact"/>
        <w:numPr>
          <w:ilvl w:val="0"/>
          <w:numId w:val="1006"/>
        </w:numPr>
      </w:pPr>
      <w:r>
        <w:t xml:space="preserve">MPLX distributions help cover MPC’s capital program and dividend;</w:t>
      </w:r>
    </w:p>
    <w:p>
      <w:pPr>
        <w:pStyle w:val="Compact"/>
        <w:numPr>
          <w:ilvl w:val="0"/>
          <w:numId w:val="1006"/>
        </w:numPr>
      </w:pPr>
      <w:r>
        <w:t xml:space="preserve">MPC’s standalone 2026 capital-spending outlook is $1.5 billion;</w:t>
      </w:r>
    </w:p>
    <w:p>
      <w:pPr>
        <w:pStyle w:val="Compact"/>
        <w:numPr>
          <w:ilvl w:val="0"/>
          <w:numId w:val="1006"/>
        </w:numPr>
      </w:pPr>
      <w:r>
        <w:t xml:space="preserve">Strong 2Q refining economics should create considerable incremental cash-generation capacity;</w:t>
      </w:r>
    </w:p>
    <w:p>
      <w:pPr>
        <w:pStyle w:val="Compact"/>
        <w:numPr>
          <w:ilvl w:val="0"/>
          <w:numId w:val="1006"/>
        </w:numPr>
      </w:pPr>
      <w:r>
        <w:t xml:space="preserve">Management has explicitly indicated that buybacks remain the principal outlet for excess cash.</w:t>
      </w:r>
    </w:p>
    <w:p>
      <w:pPr>
        <w:pStyle w:val="FirstParagraph"/>
      </w:pPr>
      <w:r>
        <w:t xml:space="preserve">Still, the stock’s rally means the repurchase cadence will be scrutinized. Investors will want clarity on whether management accelerated buybacks during the quarter, while also preserving enough balance-sheet flexibility for a potentially volatile commodity environment.</w:t>
      </w:r>
    </w:p>
    <w:bookmarkEnd w:id="20"/>
    <w:bookmarkStart w:id="21" w:name="key-items-to-listen-for-on-the-call"/>
    <w:p>
      <w:pPr>
        <w:pStyle w:val="Heading2"/>
      </w:pPr>
      <w:r>
        <w:t xml:space="preserve">Key items to listen for on the call</w:t>
      </w:r>
    </w:p>
    <w:p>
      <w:pPr>
        <w:pStyle w:val="Compact"/>
        <w:numPr>
          <w:ilvl w:val="0"/>
          <w:numId w:val="1007"/>
        </w:numPr>
      </w:pPr>
      <w:r>
        <w:rPr>
          <w:b/>
          <w:bCs/>
        </w:rPr>
        <w:t xml:space="preserve">Refining capture:</w:t>
      </w:r>
      <w:r>
        <w:t xml:space="preserve"> </w:t>
      </w:r>
      <w:r>
        <w:t xml:space="preserve">Did MPC achieve or exceed its 100% target in a very strong margin environment?</w:t>
      </w:r>
    </w:p>
    <w:p>
      <w:pPr>
        <w:pStyle w:val="Compact"/>
        <w:numPr>
          <w:ilvl w:val="0"/>
          <w:numId w:val="1007"/>
        </w:numPr>
      </w:pPr>
      <w:r>
        <w:rPr>
          <w:b/>
          <w:bCs/>
        </w:rPr>
        <w:t xml:space="preserve">Utilization and throughput:</w:t>
      </w:r>
      <w:r>
        <w:t xml:space="preserve"> </w:t>
      </w:r>
      <w:r>
        <w:t xml:space="preserve">Did actual runs meet the roughly 94% utilization/2.99 MMBbl/d 2Q setup?</w:t>
      </w:r>
    </w:p>
    <w:p>
      <w:pPr>
        <w:pStyle w:val="Compact"/>
        <w:numPr>
          <w:ilvl w:val="0"/>
          <w:numId w:val="1007"/>
        </w:numPr>
      </w:pPr>
      <w:r>
        <w:rPr>
          <w:b/>
          <w:bCs/>
        </w:rPr>
        <w:t xml:space="preserve">Derivative impact:</w:t>
      </w:r>
      <w:r>
        <w:t xml:space="preserve"> </w:t>
      </w:r>
      <w:r>
        <w:t xml:space="preserve">How much of the 1Q unrealized loss reversed, and what remains exposed to future volatility?</w:t>
      </w:r>
    </w:p>
    <w:p>
      <w:pPr>
        <w:pStyle w:val="Compact"/>
        <w:numPr>
          <w:ilvl w:val="0"/>
          <w:numId w:val="1007"/>
        </w:numPr>
      </w:pPr>
      <w:r>
        <w:rPr>
          <w:b/>
          <w:bCs/>
        </w:rPr>
        <w:t xml:space="preserve">Regional EBITDA/bbl:</w:t>
      </w:r>
      <w:r>
        <w:t xml:space="preserve"> </w:t>
      </w:r>
      <w:r>
        <w:t xml:space="preserve">Did Mid-Con recover, and did Gulf Coast/West Coast margins remain exceptional?</w:t>
      </w:r>
    </w:p>
    <w:p>
      <w:pPr>
        <w:pStyle w:val="Compact"/>
        <w:numPr>
          <w:ilvl w:val="0"/>
          <w:numId w:val="1007"/>
        </w:numPr>
      </w:pPr>
      <w:r>
        <w:rPr>
          <w:b/>
          <w:bCs/>
        </w:rPr>
        <w:t xml:space="preserve">Turnaround outlook:</w:t>
      </w:r>
      <w:r>
        <w:t xml:space="preserve"> </w:t>
      </w:r>
      <w:r>
        <w:t xml:space="preserve">Is full-year planned turnaround expense still $1.35 billion, or has scope/cost changed?</w:t>
      </w:r>
    </w:p>
    <w:p>
      <w:pPr>
        <w:pStyle w:val="Compact"/>
        <w:numPr>
          <w:ilvl w:val="0"/>
          <w:numId w:val="1007"/>
        </w:numPr>
      </w:pPr>
      <w:r>
        <w:rPr>
          <w:b/>
          <w:bCs/>
        </w:rPr>
        <w:t xml:space="preserve">Projects:</w:t>
      </w:r>
      <w:r>
        <w:t xml:space="preserve"> </w:t>
      </w:r>
      <w:r>
        <w:t xml:space="preserve">Confirmation of El Paso completion; timing and expected contribution from Robinson jet flexibility in 3Q.</w:t>
      </w:r>
    </w:p>
    <w:p>
      <w:pPr>
        <w:pStyle w:val="Compact"/>
        <w:numPr>
          <w:ilvl w:val="0"/>
          <w:numId w:val="1007"/>
        </w:numPr>
      </w:pPr>
      <w:r>
        <w:rPr>
          <w:b/>
          <w:bCs/>
        </w:rPr>
        <w:t xml:space="preserve">MPLX milestones:</w:t>
      </w:r>
      <w:r>
        <w:t xml:space="preserve"> </w:t>
      </w:r>
      <w:r>
        <w:t xml:space="preserve">Updates on processing, treating, pipeline, fractionation, and LPG-export projects.</w:t>
      </w:r>
    </w:p>
    <w:p>
      <w:pPr>
        <w:pStyle w:val="Compact"/>
        <w:numPr>
          <w:ilvl w:val="0"/>
          <w:numId w:val="1007"/>
        </w:numPr>
      </w:pPr>
      <w:r>
        <w:rPr>
          <w:b/>
          <w:bCs/>
        </w:rPr>
        <w:t xml:space="preserve">Capital return:</w:t>
      </w:r>
      <w:r>
        <w:t xml:space="preserve"> </w:t>
      </w:r>
      <w:r>
        <w:t xml:space="preserve">Quarterly buyback pace, remaining authorization, and management’s willingness to return windfall cash flow.</w:t>
      </w:r>
    </w:p>
    <w:p>
      <w:pPr>
        <w:pStyle w:val="Compact"/>
        <w:numPr>
          <w:ilvl w:val="0"/>
          <w:numId w:val="1007"/>
        </w:numPr>
      </w:pPr>
      <w:r>
        <w:rPr>
          <w:b/>
          <w:bCs/>
        </w:rPr>
        <w:t xml:space="preserve">Macro framing:</w:t>
      </w:r>
      <w:r>
        <w:t xml:space="preserve"> </w:t>
      </w:r>
      <w:r>
        <w:t xml:space="preserve">Management’s assessment of refining demand, export markets, crude differentials, and the durability of elevated cracks.</w:t>
      </w:r>
    </w:p>
    <w:bookmarkEnd w:id="21"/>
    <w:bookmarkStart w:id="22" w:name="investment-view-into-the-print"/>
    <w:p>
      <w:pPr>
        <w:pStyle w:val="Heading2"/>
      </w:pPr>
      <w:r>
        <w:t xml:space="preserve">Investment view into the print</w:t>
      </w:r>
    </w:p>
    <w:p>
      <w:pPr>
        <w:pStyle w:val="FirstParagraph"/>
      </w:pPr>
      <w:r>
        <w:rPr>
          <w:b/>
          <w:bCs/>
        </w:rPr>
        <w:t xml:space="preserve">The setup is favorable, but expectations are elevated.</w:t>
      </w:r>
      <w:r>
        <w:t xml:space="preserve"> </w:t>
      </w:r>
      <w:r>
        <w:t xml:space="preserve">MPC appears positioned for a strong 2Q on the combination of higher utilization, lower turnaround spending, constructive refining margins, robust export opportunities, and potential derivative timing recovery.</w:t>
      </w:r>
    </w:p>
    <w:p>
      <w:pPr>
        <w:pStyle w:val="BodyText"/>
      </w:pPr>
      <w:r>
        <w:t xml:space="preserve">The bullish outcome is not simply a headline EPS beat. It would include:</w:t>
      </w:r>
    </w:p>
    <w:p>
      <w:pPr>
        <w:pStyle w:val="Compact"/>
        <w:numPr>
          <w:ilvl w:val="0"/>
          <w:numId w:val="1008"/>
        </w:numPr>
      </w:pPr>
      <w:r>
        <w:t xml:space="preserve">Near- or above-100% capture;</w:t>
      </w:r>
    </w:p>
    <w:p>
      <w:pPr>
        <w:pStyle w:val="Compact"/>
        <w:numPr>
          <w:ilvl w:val="0"/>
          <w:numId w:val="1008"/>
        </w:numPr>
      </w:pPr>
      <w:r>
        <w:t xml:space="preserve">Strong regional EBITDA/bbl, especially in Gulf Coast and Mid-Con;</w:t>
      </w:r>
    </w:p>
    <w:p>
      <w:pPr>
        <w:pStyle w:val="Compact"/>
        <w:numPr>
          <w:ilvl w:val="0"/>
          <w:numId w:val="1008"/>
        </w:numPr>
      </w:pPr>
      <w:r>
        <w:t xml:space="preserve">Confirmation that maintenance front-loading delivered the expected availability benefit;</w:t>
      </w:r>
    </w:p>
    <w:p>
      <w:pPr>
        <w:pStyle w:val="Compact"/>
        <w:numPr>
          <w:ilvl w:val="0"/>
          <w:numId w:val="1008"/>
        </w:numPr>
      </w:pPr>
      <w:r>
        <w:t xml:space="preserve">Meaningful free-cash-flow conversion;</w:t>
      </w:r>
    </w:p>
    <w:p>
      <w:pPr>
        <w:pStyle w:val="Compact"/>
        <w:numPr>
          <w:ilvl w:val="0"/>
          <w:numId w:val="1008"/>
        </w:numPr>
      </w:pPr>
      <w:r>
        <w:t xml:space="preserve">Accelerated capital return; and</w:t>
      </w:r>
    </w:p>
    <w:p>
      <w:pPr>
        <w:pStyle w:val="Compact"/>
        <w:numPr>
          <w:ilvl w:val="0"/>
          <w:numId w:val="1008"/>
        </w:numPr>
      </w:pPr>
      <w:r>
        <w:t xml:space="preserve">Constructive commentary on 2H26 margins and project execution.</w:t>
      </w:r>
    </w:p>
    <w:p>
      <w:pPr>
        <w:pStyle w:val="FirstParagraph"/>
      </w:pPr>
      <w:r>
        <w:t xml:space="preserve">The principal downside risk is a result that reveals weaker capture, operational interruptions, less derivative recovery than expected, or caution around the sustainability of current refining economics. Given the stock’s strong move into earnings, merely “good” results may not be enough if investors conclude that the macro upside is already reflected in the share price.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2026-08-04T01:07:44Z</dcterms:created>
  <dcterms:modified xsi:type="dcterms:W3CDTF">2026-08-04T01:07:44Z</dcterms:modified>
</cp:coreProperties>
</file>

<file path=docProps/custom.xml><?xml version="1.0" encoding="utf-8"?>
<Properties xmlns="http://schemas.openxmlformats.org/officeDocument/2006/custom-properties" xmlns:vt="http://schemas.openxmlformats.org/officeDocument/2006/docPropsVTypes"/>
</file>