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Marathon Petroleum Corporation (MPC) — 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Marathon Petroleum Corporation</w:t>
            </w:r>
          </w:p>
        </w:tc>
        <w:tc>
          <w:tcPr>
            <w:tcW w:type="dxa" w:w="2160"/>
          </w:tcPr>
          <w:p>
            <w:r>
              <w:rPr>
                <w:rFonts w:ascii="Calibri" w:hAnsi="Calibri"/>
                <w:b/>
                <w:sz w:val="22"/>
              </w:rPr>
              <w:t>Ticker</w:t>
            </w:r>
          </w:p>
        </w:tc>
        <w:tc>
          <w:tcPr>
            <w:tcW w:type="dxa" w:w="2160"/>
          </w:tcPr>
          <w:p>
            <w:r>
              <w:rPr>
                <w:rFonts w:ascii="Calibri" w:hAnsi="Calibri"/>
                <w:sz w:val="22"/>
              </w:rPr>
              <w:t>MPC (NYSE)</w:t>
            </w:r>
          </w:p>
        </w:tc>
      </w:tr>
      <w:tr>
        <w:tc>
          <w:tcPr>
            <w:tcW w:type="dxa" w:w="2160"/>
          </w:tcPr>
          <w:p>
            <w:r>
              <w:rPr>
                <w:rFonts w:ascii="Calibri" w:hAnsi="Calibri"/>
                <w:b/>
                <w:sz w:val="22"/>
              </w:rPr>
              <w:t>Upcoming Earnings Date</w:t>
            </w:r>
          </w:p>
        </w:tc>
        <w:tc>
          <w:tcPr>
            <w:tcW w:type="dxa" w:w="2160"/>
          </w:tcPr>
          <w:p>
            <w:r>
              <w:rPr>
                <w:rFonts w:ascii="Calibri" w:hAnsi="Calibri"/>
                <w:sz w:val="22"/>
              </w:rPr>
              <w:t>August 4, 2026 (Q2 2026)</w:t>
            </w:r>
          </w:p>
        </w:tc>
        <w:tc>
          <w:tcPr>
            <w:tcW w:type="dxa" w:w="2160"/>
          </w:tcPr>
          <w:p>
            <w:r>
              <w:rPr>
                <w:rFonts w:ascii="Calibri" w:hAnsi="Calibri"/>
                <w:b/>
                <w:sz w:val="22"/>
              </w:rPr>
              <w:t>Prepared Date</w:t>
            </w:r>
          </w:p>
        </w:tc>
        <w:tc>
          <w:tcPr>
            <w:tcW w:type="dxa" w:w="2160"/>
          </w:tcPr>
          <w:p>
            <w:r>
              <w:rPr>
                <w:rFonts w:ascii="Calibri" w:hAnsi="Calibri"/>
                <w:sz w:val="22"/>
              </w:rPr>
              <w:t>August 3, 2026</w:t>
            </w:r>
          </w:p>
        </w:tc>
      </w:tr>
      <w:tr>
        <w:tc>
          <w:tcPr>
            <w:tcW w:type="dxa" w:w="2160"/>
          </w:tcPr>
          <w:p>
            <w:r>
              <w:rPr>
                <w:rFonts w:ascii="Calibri" w:hAnsi="Calibri"/>
                <w:b/>
                <w:sz w:val="22"/>
              </w:rPr>
              <w:t>Reporting Period</w:t>
            </w:r>
          </w:p>
        </w:tc>
        <w:tc>
          <w:tcPr>
            <w:tcW w:type="dxa" w:w="2160"/>
          </w:tcPr>
          <w:p>
            <w:r>
              <w:rPr>
                <w:rFonts w:ascii="Calibri" w:hAnsi="Calibri"/>
                <w:sz w:val="22"/>
              </w:rPr>
              <w:t>Q2 2026 (Apr–Jun 2026)</w:t>
            </w:r>
          </w:p>
        </w:tc>
        <w:tc>
          <w:tcPr>
            <w:tcW w:type="dxa" w:w="2160"/>
          </w:tcPr>
          <w:p>
            <w:r>
              <w:rPr>
                <w:rFonts w:ascii="Calibri" w:hAnsi="Calibri"/>
                <w:b/>
                <w:sz w:val="22"/>
              </w:rPr>
              <w:t>Sector ETF</w:t>
            </w:r>
          </w:p>
        </w:tc>
        <w:tc>
          <w:tcPr>
            <w:tcW w:type="dxa" w:w="2160"/>
          </w:tcPr>
          <w:p>
            <w:r>
              <w:rPr>
                <w:rFonts w:ascii="Calibri" w:hAnsi="Calibri"/>
                <w:sz w:val="22"/>
              </w:rPr>
              <w:t>CRAK (VanEck Oil Refiners ETF)</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b/>
          <w:color w:val="525866"/>
          <w:sz w:val="22"/>
        </w:rPr>
        <w:t>The setup into Q2 2026 is strongly bullish — consensus has been revised sharply higher since the Q1 print, MPC guided to 94% utilization (vs. 89% in Q1), and peer prints from VLO and PBF confirm the strongest refining margin environment in years; the primary risk is whether MPC's capture rate can sustain near-100% levels amid derivative timing unwinds flagged on the Q1 call.</w:t>
      </w:r>
    </w:p>
    <w:p>
      <w:r>
        <w:rPr>
          <w:rFonts w:ascii="Calibri" w:hAnsi="Calibri"/>
          <w:color w:val="525866"/>
          <w:sz w:val="22"/>
        </w:rPr>
        <w:t xml:space="preserve">MPC heads into Q2 2026 earnings with one of the most constructive setups in recent memory. The bar has risen materially — consensus Operating EPS for Q2 2026 stands at $14.11, up from $11.41 just after the Q1 print, reflecting the extraordinary macro tailwind from the Middle East conflict that has taken roughly 5–6 million barrels per day of global refining capacity offline. Management guided to 94% utilization for Q2 (vs. 89% actual in Q1), pulled forward ~40% of full-year turnaround activity into Q1, and signaled that derivative timing effects that weighed on Q1 capture (~99%) were expected to unwind in Q2 — implying capture could exceed 100% again. Peers VLO and PBF both reported blowout Q2 results on July 30, with VLO posting $4.5B refining operating income and PBF generating $6.22 adjusted EPS, and both called Q3 margins </w:t>
      </w:r>
      <w:r>
        <w:rPr>
          <w:rFonts w:ascii="Calibri" w:hAnsi="Calibri"/>
          <w:b/>
          <w:color w:val="525866"/>
          <w:sz w:val="22"/>
        </w:rPr>
        <w:t>stronger</w:t>
      </w:r>
      <w:r>
        <w:rPr>
          <w:rFonts w:ascii="Calibri" w:hAnsi="Calibri"/>
          <w:color w:val="525866"/>
          <w:sz w:val="22"/>
        </w:rPr>
        <w:t xml:space="preserve"> than Q2 — a powerful read-through for MPC. The stock has already surged ~18% since the Q1 earnings date (vs. CRAK +4%, SPY +5%), suggesting the market has partially priced in a strong print, but the magnitude of peer beats and the constructive Q3 forward commentary suggest there is still upside if MPC's capture rate and crude sourcing execution (record Canadian volumes, ~10M bbl of SPR crude in Q2) deliver as guided. The key wildcard is whether the </w:t>
      </w:r>
      <w:r>
        <w:rPr>
          <w:rFonts w:ascii="Calibri" w:hAnsi="Calibri"/>
          <w:b/>
          <w:color w:val="525866"/>
          <w:sz w:val="22"/>
        </w:rPr>
        <w:t>derivative timing unwind</w:t>
      </w:r>
      <w:r>
        <w:rPr>
          <w:rFonts w:ascii="Calibri" w:hAnsi="Calibri"/>
          <w:color w:val="525866"/>
          <w:sz w:val="22"/>
        </w:rPr>
        <w:t xml:space="preserve"> boosts reported capture above 100%, which would be the single biggest positive surprise relative to a consensus that already embeds a strong quarter.</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b/>
          <w:color w:val="525866"/>
          <w:sz w:val="22"/>
        </w:rPr>
        <w:t xml:space="preserve">Consensus is a high bar heading into Q2 — Operating EPS estimates have risen ~24% since the Q1 print — but peer results from VLO and PBF suggest the margin environment more than justifies it; </w:t>
      </w:r>
      <w:r>
        <w:rPr>
          <w:rFonts w:ascii="Calibri" w:hAnsi="Calibri"/>
          <w:color w:val="525866"/>
          <w:sz w:val="22"/>
        </w:rPr>
        <w:t>capture rate is the bigger swing factor, as even a modest improvement above the Q1 99% level could drive a meaningful beat.</w:t>
      </w:r>
    </w:p>
    <w:p>
      <w:pPr>
        <w:pStyle w:val="Heading3"/>
      </w:pPr>
      <w:r>
        <w:rPr>
          <w:rFonts w:ascii="Calibri" w:hAnsi="Calibri"/>
          <w:b/>
          <w:color w:val="3B4259"/>
          <w:sz w:val="24"/>
        </w:rPr>
        <w:t>Table 1 — Q2 2026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Quarter Actual (Q1 2026)</w:t>
            </w:r>
          </w:p>
        </w:tc>
        <w:tc>
          <w:tcPr>
            <w:tcW w:type="dxa" w:w="1234"/>
            <w:shd w:val="clear" w:color="auto" w:fill="3B4259"/>
          </w:tcPr>
          <w:p>
            <w:r>
              <w:rPr>
                <w:rFonts w:ascii="Calibri" w:hAnsi="Calibri"/>
                <w:b/>
                <w:color w:val="FFFFFF"/>
                <w:sz w:val="22"/>
              </w:rPr>
              <w:t>Prior Year Period (Q2 2025)</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Operating EPS (Diluted)</w:t>
            </w:r>
          </w:p>
        </w:tc>
        <w:tc>
          <w:tcPr>
            <w:tcW w:type="dxa" w:w="1234"/>
          </w:tcPr>
          <w:p>
            <w:r>
              <w:rPr>
                <w:rFonts w:ascii="Calibri" w:hAnsi="Calibri"/>
                <w:sz w:val="22"/>
              </w:rPr>
              <w:t>$1.65</w:t>
            </w:r>
          </w:p>
        </w:tc>
        <w:tc>
          <w:tcPr>
            <w:tcW w:type="dxa" w:w="1234"/>
          </w:tcPr>
          <w:p>
            <w:r>
              <w:rPr>
                <w:rFonts w:ascii="Calibri" w:hAnsi="Calibri"/>
                <w:sz w:val="22"/>
              </w:rPr>
              <w:t>$3.96</w:t>
            </w:r>
          </w:p>
        </w:tc>
        <w:tc>
          <w:tcPr>
            <w:tcW w:type="dxa" w:w="1234"/>
          </w:tcPr>
          <w:p>
            <w:r>
              <w:rPr>
                <w:rFonts w:ascii="Calibri" w:hAnsi="Calibri"/>
                <w:sz w:val="22"/>
              </w:rPr>
              <w:t>$14.11</w:t>
            </w:r>
          </w:p>
        </w:tc>
        <w:tc>
          <w:tcPr>
            <w:tcW w:type="dxa" w:w="1234"/>
          </w:tcPr>
          <w:p>
            <w:r>
              <w:rPr>
                <w:rFonts w:ascii="Calibri" w:hAnsi="Calibri"/>
                <w:sz w:val="22"/>
              </w:rPr>
              <w:t>+256% YoY</w:t>
            </w:r>
          </w:p>
        </w:tc>
        <w:tc>
          <w:tcPr>
            <w:tcW w:type="dxa" w:w="1234"/>
          </w:tcPr>
          <w:p>
            <w:r>
              <w:rPr>
                <w:rFonts w:ascii="Calibri" w:hAnsi="Calibri"/>
                <w:sz w:val="22"/>
              </w:rPr>
              <w:t>No specific EPS guidance provided</w:t>
            </w:r>
          </w:p>
        </w:tc>
        <w:tc>
          <w:tcPr>
            <w:tcW w:type="dxa" w:w="1234"/>
          </w:tcPr>
          <w:p>
            <w:r>
              <w:rPr>
                <w:rFonts w:ascii="Calibri" w:hAnsi="Calibri"/>
                <w:sz w:val="22"/>
              </w:rPr>
              <w:t>N/A</w:t>
            </w:r>
          </w:p>
        </w:tc>
      </w:tr>
      <w:tr>
        <w:tc>
          <w:tcPr>
            <w:tcW w:type="dxa" w:w="1234"/>
          </w:tcPr>
          <w:p>
            <w:r>
              <w:rPr>
                <w:rFonts w:ascii="Calibri" w:hAnsi="Calibri"/>
                <w:sz w:val="22"/>
              </w:rPr>
              <w:t>Capture Rate — Refining (%)</w:t>
            </w:r>
          </w:p>
        </w:tc>
        <w:tc>
          <w:tcPr>
            <w:tcW w:type="dxa" w:w="1234"/>
          </w:tcPr>
          <w:p>
            <w:r>
              <w:rPr>
                <w:rFonts w:ascii="Calibri" w:hAnsi="Calibri"/>
                <w:sz w:val="22"/>
              </w:rPr>
              <w:t>96.2%</w:t>
            </w:r>
          </w:p>
        </w:tc>
        <w:tc>
          <w:tcPr>
            <w:tcW w:type="dxa" w:w="1234"/>
          </w:tcPr>
          <w:p>
            <w:r>
              <w:rPr>
                <w:rFonts w:ascii="Calibri" w:hAnsi="Calibri"/>
                <w:sz w:val="22"/>
              </w:rPr>
              <w:t>102.3%</w:t>
            </w:r>
          </w:p>
        </w:tc>
        <w:tc>
          <w:tcPr>
            <w:tcW w:type="dxa" w:w="1234"/>
          </w:tcPr>
          <w:p>
            <w:r>
              <w:rPr>
                <w:rFonts w:ascii="Calibri" w:hAnsi="Calibri"/>
                <w:sz w:val="22"/>
              </w:rPr>
              <w:t>93.3%</w:t>
            </w:r>
          </w:p>
        </w:tc>
        <w:tc>
          <w:tcPr>
            <w:tcW w:type="dxa" w:w="1234"/>
          </w:tcPr>
          <w:p>
            <w:r>
              <w:rPr>
                <w:rFonts w:ascii="Calibri" w:hAnsi="Calibri"/>
                <w:sz w:val="22"/>
              </w:rPr>
              <w:t>-9.0 pp YoY</w:t>
            </w:r>
          </w:p>
        </w:tc>
        <w:tc>
          <w:tcPr>
            <w:tcW w:type="dxa" w:w="1234"/>
          </w:tcPr>
          <w:p>
            <w:r>
              <w:rPr>
                <w:rFonts w:ascii="Calibri" w:hAnsi="Calibri"/>
                <w:sz w:val="22"/>
              </w:rPr>
              <w:t>Mgmt signaled Q1 99% would have exceeded 100% ex-derivative timing; unwind expected in Q2</w:t>
            </w:r>
          </w:p>
        </w:tc>
        <w:tc>
          <w:tcPr>
            <w:tcW w:type="dxa" w:w="1234"/>
          </w:tcPr>
          <w:p>
            <w:r>
              <w:rPr>
                <w:rFonts w:ascii="Calibri" w:hAnsi="Calibri"/>
                <w:sz w:val="22"/>
              </w:rPr>
              <w:t>Consensus below mgmt signal; upside risk</w:t>
            </w:r>
          </w:p>
        </w:tc>
      </w:tr>
      <w:tr>
        <w:tc>
          <w:tcPr>
            <w:tcW w:type="dxa" w:w="1234"/>
          </w:tcPr>
          <w:p>
            <w:r>
              <w:rPr>
                <w:rFonts w:ascii="Calibri" w:hAnsi="Calibri"/>
                <w:sz w:val="22"/>
              </w:rPr>
              <w:t>Total Capacity Utilization (%)</w:t>
            </w:r>
          </w:p>
        </w:tc>
        <w:tc>
          <w:tcPr>
            <w:tcW w:type="dxa" w:w="1234"/>
          </w:tcPr>
          <w:p>
            <w:r>
              <w:rPr>
                <w:rFonts w:ascii="Calibri" w:hAnsi="Calibri"/>
                <w:sz w:val="22"/>
              </w:rPr>
              <w:t>95.4%</w:t>
            </w:r>
          </w:p>
        </w:tc>
        <w:tc>
          <w:tcPr>
            <w:tcW w:type="dxa" w:w="1234"/>
          </w:tcPr>
          <w:p>
            <w:r>
              <w:rPr>
                <w:rFonts w:ascii="Calibri" w:hAnsi="Calibri"/>
                <w:sz w:val="22"/>
              </w:rPr>
              <w:t>102.5%</w:t>
            </w:r>
          </w:p>
        </w:tc>
        <w:tc>
          <w:tcPr>
            <w:tcW w:type="dxa" w:w="1234"/>
          </w:tcPr>
          <w:p>
            <w:r>
              <w:rPr>
                <w:rFonts w:ascii="Calibri" w:hAnsi="Calibri"/>
                <w:sz w:val="22"/>
              </w:rPr>
              <w:t>100.8%</w:t>
            </w:r>
          </w:p>
        </w:tc>
        <w:tc>
          <w:tcPr>
            <w:tcW w:type="dxa" w:w="1234"/>
          </w:tcPr>
          <w:p>
            <w:r>
              <w:rPr>
                <w:rFonts w:ascii="Calibri" w:hAnsi="Calibri"/>
                <w:sz w:val="22"/>
              </w:rPr>
              <w:t>-1.7 pp YoY</w:t>
            </w:r>
          </w:p>
        </w:tc>
        <w:tc>
          <w:tcPr>
            <w:tcW w:type="dxa" w:w="1234"/>
          </w:tcPr>
          <w:p>
            <w:r>
              <w:rPr>
                <w:rFonts w:ascii="Calibri" w:hAnsi="Calibri"/>
                <w:sz w:val="22"/>
              </w:rPr>
              <w:t>~94% guided (refining utilization)</w:t>
            </w:r>
          </w:p>
        </w:tc>
        <w:tc>
          <w:tcPr>
            <w:tcW w:type="dxa" w:w="1234"/>
          </w:tcPr>
          <w:p>
            <w:r>
              <w:rPr>
                <w:rFonts w:ascii="Calibri" w:hAnsi="Calibri"/>
                <w:sz w:val="22"/>
              </w:rPr>
              <w:t>Consensus above guidance; implies execution upside</w:t>
            </w:r>
          </w:p>
        </w:tc>
      </w:tr>
      <w:tr>
        <w:tc>
          <w:tcPr>
            <w:tcW w:type="dxa" w:w="1234"/>
          </w:tcPr>
          <w:p>
            <w:r>
              <w:rPr>
                <w:rFonts w:ascii="Calibri" w:hAnsi="Calibri"/>
                <w:sz w:val="22"/>
              </w:rPr>
              <w:t>Refining &amp; Marketing EBITDA</w:t>
            </w:r>
          </w:p>
        </w:tc>
        <w:tc>
          <w:tcPr>
            <w:tcW w:type="dxa" w:w="1234"/>
          </w:tcPr>
          <w:p>
            <w:r>
              <w:rPr>
                <w:rFonts w:ascii="Calibri" w:hAnsi="Calibri"/>
                <w:sz w:val="22"/>
              </w:rPr>
              <w:t>$841M</w:t>
            </w:r>
          </w:p>
        </w:tc>
        <w:tc>
          <w:tcPr>
            <w:tcW w:type="dxa" w:w="1234"/>
          </w:tcPr>
          <w:p>
            <w:r>
              <w:rPr>
                <w:rFonts w:ascii="Calibri" w:hAnsi="Calibri"/>
                <w:sz w:val="22"/>
              </w:rPr>
              <w:t>$1,624M</w:t>
            </w:r>
          </w:p>
        </w:tc>
        <w:tc>
          <w:tcPr>
            <w:tcW w:type="dxa" w:w="1234"/>
          </w:tcPr>
          <w:p>
            <w:r>
              <w:rPr>
                <w:rFonts w:ascii="Calibri" w:hAnsi="Calibri"/>
                <w:sz w:val="22"/>
              </w:rPr>
              <w:t>$5,123M</w:t>
            </w:r>
          </w:p>
        </w:tc>
        <w:tc>
          <w:tcPr>
            <w:tcW w:type="dxa" w:w="1234"/>
          </w:tcPr>
          <w:p>
            <w:r>
              <w:rPr>
                <w:rFonts w:ascii="Calibri" w:hAnsi="Calibri"/>
                <w:sz w:val="22"/>
              </w:rPr>
              <w:t>+215% YoY</w:t>
            </w:r>
          </w:p>
        </w:tc>
        <w:tc>
          <w:tcPr>
            <w:tcW w:type="dxa" w:w="1234"/>
          </w:tcPr>
          <w:p>
            <w:r>
              <w:rPr>
                <w:rFonts w:ascii="Calibri" w:hAnsi="Calibri"/>
                <w:sz w:val="22"/>
              </w:rPr>
              <w:t>No specific EBITDA guidance; constructive macro backdrop cited</w:t>
            </w:r>
          </w:p>
        </w:tc>
        <w:tc>
          <w:tcPr>
            <w:tcW w:type="dxa" w:w="1234"/>
          </w:tcPr>
          <w:p>
            <w:r>
              <w:rPr>
                <w:rFonts w:ascii="Calibri" w:hAnsi="Calibri"/>
                <w:sz w:val="22"/>
              </w:rPr>
              <w:t>N/A</w:t>
            </w:r>
          </w:p>
        </w:tc>
      </w:tr>
      <w:tr>
        <w:tc>
          <w:tcPr>
            <w:tcW w:type="dxa" w:w="1234"/>
          </w:tcPr>
          <w:p>
            <w:r>
              <w:rPr>
                <w:rFonts w:ascii="Calibri" w:hAnsi="Calibri"/>
                <w:sz w:val="22"/>
              </w:rPr>
              <w:t>Turnaround Costs — Refining &amp; Marketing</w:t>
            </w:r>
          </w:p>
        </w:tc>
        <w:tc>
          <w:tcPr>
            <w:tcW w:type="dxa" w:w="1234"/>
          </w:tcPr>
          <w:p>
            <w:r>
              <w:rPr>
                <w:rFonts w:ascii="Calibri" w:hAnsi="Calibri"/>
                <w:sz w:val="22"/>
              </w:rPr>
              <w:t>$514M</w:t>
            </w:r>
          </w:p>
        </w:tc>
        <w:tc>
          <w:tcPr>
            <w:tcW w:type="dxa" w:w="1234"/>
          </w:tcPr>
          <w:p>
            <w:r>
              <w:rPr>
                <w:rFonts w:ascii="Calibri" w:hAnsi="Calibri"/>
                <w:sz w:val="22"/>
              </w:rPr>
              <w:t>$251M</w:t>
            </w:r>
          </w:p>
        </w:tc>
        <w:tc>
          <w:tcPr>
            <w:tcW w:type="dxa" w:w="1234"/>
          </w:tcPr>
          <w:p>
            <w:r>
              <w:rPr>
                <w:rFonts w:ascii="Calibri" w:hAnsi="Calibri"/>
                <w:sz w:val="22"/>
              </w:rPr>
              <w:t>$295M</w:t>
            </w:r>
          </w:p>
        </w:tc>
        <w:tc>
          <w:tcPr>
            <w:tcW w:type="dxa" w:w="1234"/>
          </w:tcPr>
          <w:p>
            <w:r>
              <w:rPr>
                <w:rFonts w:ascii="Calibri" w:hAnsi="Calibri"/>
                <w:sz w:val="22"/>
              </w:rPr>
              <w:t>+17% YoY</w:t>
            </w:r>
          </w:p>
        </w:tc>
        <w:tc>
          <w:tcPr>
            <w:tcW w:type="dxa" w:w="1234"/>
          </w:tcPr>
          <w:p>
            <w:r>
              <w:rPr>
                <w:rFonts w:ascii="Calibri" w:hAnsi="Calibri"/>
                <w:sz w:val="22"/>
              </w:rPr>
              <w:t>Full-year $1.35B; ~40% completed in Q1; Q2 should be lighter</w:t>
            </w:r>
          </w:p>
        </w:tc>
        <w:tc>
          <w:tcPr>
            <w:tcW w:type="dxa" w:w="1234"/>
          </w:tcPr>
          <w:p>
            <w:r>
              <w:rPr>
                <w:rFonts w:ascii="Calibri" w:hAnsi="Calibri"/>
                <w:sz w:val="22"/>
              </w:rPr>
              <w:t>Consensus in line with guidance trajectory</w:t>
            </w:r>
          </w:p>
        </w:tc>
      </w:tr>
      <w:tr>
        <w:tc>
          <w:tcPr>
            <w:tcW w:type="dxa" w:w="1234"/>
          </w:tcPr>
          <w:p>
            <w:r>
              <w:rPr>
                <w:rFonts w:ascii="Calibri" w:hAnsi="Calibri"/>
                <w:sz w:val="22"/>
              </w:rPr>
              <w:t>Free Cash Flow (FCF)</w:t>
            </w:r>
          </w:p>
        </w:tc>
        <w:tc>
          <w:tcPr>
            <w:tcW w:type="dxa" w:w="1234"/>
          </w:tcPr>
          <w:p>
            <w:r>
              <w:rPr>
                <w:rFonts w:ascii="Calibri" w:hAnsi="Calibri"/>
                <w:sz w:val="22"/>
              </w:rPr>
              <w:t>$208M</w:t>
            </w:r>
          </w:p>
        </w:tc>
        <w:tc>
          <w:tcPr>
            <w:tcW w:type="dxa" w:w="1234"/>
          </w:tcPr>
          <w:p>
            <w:r>
              <w:rPr>
                <w:rFonts w:ascii="Calibri" w:hAnsi="Calibri"/>
                <w:sz w:val="22"/>
              </w:rPr>
              <w:t>$1,944M</w:t>
            </w:r>
          </w:p>
        </w:tc>
        <w:tc>
          <w:tcPr>
            <w:tcW w:type="dxa" w:w="1234"/>
          </w:tcPr>
          <w:p>
            <w:r>
              <w:rPr>
                <w:rFonts w:ascii="Calibri" w:hAnsi="Calibri"/>
                <w:sz w:val="22"/>
              </w:rPr>
              <w:t>$4,253M</w:t>
            </w:r>
          </w:p>
        </w:tc>
        <w:tc>
          <w:tcPr>
            <w:tcW w:type="dxa" w:w="1234"/>
          </w:tcPr>
          <w:p>
            <w:r>
              <w:rPr>
                <w:rFonts w:ascii="Calibri" w:hAnsi="Calibri"/>
                <w:sz w:val="22"/>
              </w:rPr>
              <w:t>+119% YoY</w:t>
            </w:r>
          </w:p>
        </w:tc>
        <w:tc>
          <w:tcPr>
            <w:tcW w:type="dxa" w:w="1234"/>
          </w:tcPr>
          <w:p>
            <w:r>
              <w:rPr>
                <w:rFonts w:ascii="Calibri" w:hAnsi="Calibri"/>
                <w:sz w:val="22"/>
              </w:rPr>
              <w:t>No specific FCF guidance; $5B buyback authorization signals confidence</w:t>
            </w:r>
          </w:p>
        </w:tc>
        <w:tc>
          <w:tcPr>
            <w:tcW w:type="dxa" w:w="1234"/>
          </w:tcPr>
          <w:p>
            <w:r>
              <w:rPr>
                <w:rFonts w:ascii="Calibri" w:hAnsi="Calibri"/>
                <w:sz w:val="22"/>
              </w:rPr>
              <w:t>N/A</w:t>
            </w:r>
          </w:p>
        </w:tc>
      </w:tr>
      <w:tr>
        <w:tc>
          <w:tcPr>
            <w:tcW w:type="dxa" w:w="1234"/>
          </w:tcPr>
          <w:p>
            <w:r>
              <w:rPr>
                <w:rFonts w:ascii="Calibri" w:hAnsi="Calibri"/>
                <w:sz w:val="22"/>
              </w:rPr>
              <w:t>Share Repurchases</w:t>
            </w:r>
          </w:p>
        </w:tc>
        <w:tc>
          <w:tcPr>
            <w:tcW w:type="dxa" w:w="1234"/>
          </w:tcPr>
          <w:p>
            <w:r>
              <w:rPr>
                <w:rFonts w:ascii="Calibri" w:hAnsi="Calibri"/>
                <w:sz w:val="22"/>
              </w:rPr>
              <w:t>$750M</w:t>
            </w:r>
          </w:p>
        </w:tc>
        <w:tc>
          <w:tcPr>
            <w:tcW w:type="dxa" w:w="1234"/>
          </w:tcPr>
          <w:p>
            <w:r>
              <w:rPr>
                <w:rFonts w:ascii="Calibri" w:hAnsi="Calibri"/>
                <w:sz w:val="22"/>
              </w:rPr>
              <w:t>$780M</w:t>
            </w:r>
          </w:p>
        </w:tc>
        <w:tc>
          <w:tcPr>
            <w:tcW w:type="dxa" w:w="1234"/>
          </w:tcPr>
          <w:p>
            <w:r>
              <w:rPr>
                <w:rFonts w:ascii="Calibri" w:hAnsi="Calibri"/>
                <w:sz w:val="22"/>
              </w:rPr>
              <w:t>$2,249M</w:t>
            </w:r>
          </w:p>
        </w:tc>
        <w:tc>
          <w:tcPr>
            <w:tcW w:type="dxa" w:w="1234"/>
          </w:tcPr>
          <w:p>
            <w:r>
              <w:rPr>
                <w:rFonts w:ascii="Calibri" w:hAnsi="Calibri"/>
                <w:sz w:val="22"/>
              </w:rPr>
              <w:t>+188% YoY</w:t>
            </w:r>
          </w:p>
        </w:tc>
        <w:tc>
          <w:tcPr>
            <w:tcW w:type="dxa" w:w="1234"/>
          </w:tcPr>
          <w:p>
            <w:r>
              <w:rPr>
                <w:rFonts w:ascii="Calibri" w:hAnsi="Calibri"/>
                <w:sz w:val="22"/>
              </w:rPr>
              <w:t>Mgmt signaled acceleration of buybacks given favorable macro</w:t>
            </w:r>
          </w:p>
        </w:tc>
        <w:tc>
          <w:tcPr>
            <w:tcW w:type="dxa" w:w="1234"/>
          </w:tcPr>
          <w:p>
            <w:r>
              <w:rPr>
                <w:rFonts w:ascii="Calibri" w:hAnsi="Calibri"/>
                <w:sz w:val="22"/>
              </w:rPr>
              <w:t>Consensus implies significant step-up; key capital return signal</w:t>
            </w:r>
          </w:p>
        </w:tc>
      </w:tr>
    </w:tbl>
    <w:p>
      <w:r>
        <w:rPr>
          <w:rFonts w:ascii="Calibri" w:hAnsi="Calibri"/>
          <w:color w:val="525866"/>
          <w:sz w:val="22"/>
        </w:rPr>
        <w:t>Source: Visible Alpha Consensus and Actuals Data. Q2 2026 consensus as of August 3, 2026; Q1 2026 actuals as reported May 5, 2026. Capture rate consensus as of 5/10/26 baseline was 97.8%.</w:t>
      </w:r>
    </w:p>
    <w:p>
      <w:pPr>
        <w:pStyle w:val="Heading3"/>
      </w:pPr>
      <w:r>
        <w:rPr>
          <w:rFonts w:ascii="Calibri" w:hAnsi="Calibri"/>
          <w:b/>
          <w:color w:val="3B4259"/>
          <w:sz w:val="24"/>
        </w:rPr>
        <w:t>Table 2 — Beat/Miss History: Last 8 Quarters (Top 2 KPIs)</w:t>
      </w:r>
    </w:p>
    <w:p>
      <w:r>
        <w:rPr>
          <w:rFonts w:ascii="Calibri" w:hAnsi="Calibri"/>
          <w:b/>
          <w:color w:val="525866"/>
          <w:sz w:val="22"/>
        </w:rPr>
        <w:t>KPI 1: Operating EPS (Diluted)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$1.65</w:t>
            </w:r>
          </w:p>
        </w:tc>
        <w:tc>
          <w:tcPr>
            <w:tcW w:type="dxa" w:w="1728"/>
          </w:tcPr>
          <w:p>
            <w:r>
              <w:rPr>
                <w:rFonts w:ascii="Calibri" w:hAnsi="Calibri"/>
                <w:sz w:val="22"/>
              </w:rPr>
              <w:t>$0.76</w:t>
            </w:r>
          </w:p>
        </w:tc>
        <w:tc>
          <w:tcPr>
            <w:tcW w:type="dxa" w:w="1728"/>
          </w:tcPr>
          <w:p>
            <w:r>
              <w:rPr>
                <w:rFonts w:ascii="Calibri" w:hAnsi="Calibri"/>
                <w:b/>
                <w:color w:val="30A46C"/>
                <w:sz w:val="22"/>
              </w:rPr>
              <w:t>+117%</w:t>
            </w:r>
          </w:p>
        </w:tc>
        <w:tc>
          <w:tcPr>
            <w:tcW w:type="dxa" w:w="1728"/>
          </w:tcPr>
          <w:p>
            <w:r>
              <w:rPr>
                <w:rFonts w:ascii="Calibri" w:hAnsi="Calibri"/>
                <w:b/>
                <w:color w:val="30A46C"/>
                <w:sz w:val="22"/>
              </w:rPr>
              <w:t>MASSIVE BEAT</w:t>
            </w:r>
          </w:p>
        </w:tc>
      </w:tr>
      <w:tr>
        <w:tc>
          <w:tcPr>
            <w:tcW w:type="dxa" w:w="1728"/>
          </w:tcPr>
          <w:p>
            <w:r>
              <w:rPr>
                <w:rFonts w:ascii="Calibri" w:hAnsi="Calibri"/>
                <w:sz w:val="22"/>
              </w:rPr>
              <w:t>Q4 2025</w:t>
            </w:r>
          </w:p>
        </w:tc>
        <w:tc>
          <w:tcPr>
            <w:tcW w:type="dxa" w:w="1728"/>
          </w:tcPr>
          <w:p>
            <w:r>
              <w:rPr>
                <w:rFonts w:ascii="Calibri" w:hAnsi="Calibri"/>
                <w:sz w:val="22"/>
              </w:rPr>
              <w:t>$4.07</w:t>
            </w:r>
          </w:p>
        </w:tc>
        <w:tc>
          <w:tcPr>
            <w:tcW w:type="dxa" w:w="1728"/>
          </w:tcPr>
          <w:p>
            <w:r>
              <w:rPr>
                <w:rFonts w:ascii="Calibri" w:hAnsi="Calibri"/>
                <w:sz w:val="22"/>
              </w:rPr>
              <w:t>$2.70</w:t>
            </w:r>
          </w:p>
        </w:tc>
        <w:tc>
          <w:tcPr>
            <w:tcW w:type="dxa" w:w="1728"/>
          </w:tcPr>
          <w:p>
            <w:r>
              <w:rPr>
                <w:rFonts w:ascii="Calibri" w:hAnsi="Calibri"/>
                <w:b/>
                <w:color w:val="30A46C"/>
                <w:sz w:val="22"/>
              </w:rPr>
              <w:t>+51%</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$3.01</w:t>
            </w:r>
          </w:p>
        </w:tc>
        <w:tc>
          <w:tcPr>
            <w:tcW w:type="dxa" w:w="1728"/>
          </w:tcPr>
          <w:p>
            <w:r>
              <w:rPr>
                <w:rFonts w:ascii="Calibri" w:hAnsi="Calibri"/>
                <w:sz w:val="22"/>
              </w:rPr>
              <w:t>$3.15</w:t>
            </w:r>
          </w:p>
        </w:tc>
        <w:tc>
          <w:tcPr>
            <w:tcW w:type="dxa" w:w="1728"/>
          </w:tcPr>
          <w:p>
            <w:r>
              <w:rPr>
                <w:rFonts w:ascii="Calibri" w:hAnsi="Calibri"/>
                <w:b/>
                <w:color w:val="E5484D"/>
                <w:sz w:val="22"/>
              </w:rPr>
              <w:t>-4%</w:t>
            </w:r>
          </w:p>
        </w:tc>
        <w:tc>
          <w:tcPr>
            <w:tcW w:type="dxa" w:w="1728"/>
          </w:tcPr>
          <w:p>
            <w:r>
              <w:rPr>
                <w:rFonts w:ascii="Calibri" w:hAnsi="Calibri"/>
                <w:b/>
                <w:color w:val="E5484D"/>
                <w:sz w:val="22"/>
              </w:rPr>
              <w:t>MISS</w:t>
            </w:r>
          </w:p>
        </w:tc>
      </w:tr>
      <w:tr>
        <w:tc>
          <w:tcPr>
            <w:tcW w:type="dxa" w:w="1728"/>
          </w:tcPr>
          <w:p>
            <w:r>
              <w:rPr>
                <w:rFonts w:ascii="Calibri" w:hAnsi="Calibri"/>
                <w:sz w:val="22"/>
              </w:rPr>
              <w:t>Q2 2025</w:t>
            </w:r>
          </w:p>
        </w:tc>
        <w:tc>
          <w:tcPr>
            <w:tcW w:type="dxa" w:w="1728"/>
          </w:tcPr>
          <w:p>
            <w:r>
              <w:rPr>
                <w:rFonts w:ascii="Calibri" w:hAnsi="Calibri"/>
                <w:sz w:val="22"/>
              </w:rPr>
              <w:t>$3.96</w:t>
            </w:r>
          </w:p>
        </w:tc>
        <w:tc>
          <w:tcPr>
            <w:tcW w:type="dxa" w:w="1728"/>
          </w:tcPr>
          <w:p>
            <w:r>
              <w:rPr>
                <w:rFonts w:ascii="Calibri" w:hAnsi="Calibri"/>
                <w:sz w:val="22"/>
              </w:rPr>
              <w:t>$3.22</w:t>
            </w:r>
          </w:p>
        </w:tc>
        <w:tc>
          <w:tcPr>
            <w:tcW w:type="dxa" w:w="1728"/>
          </w:tcPr>
          <w:p>
            <w:r>
              <w:rPr>
                <w:rFonts w:ascii="Calibri" w:hAnsi="Calibri"/>
                <w:b/>
                <w:color w:val="30A46C"/>
                <w:sz w:val="22"/>
              </w:rPr>
              <w:t>+23%</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-$0.24</w:t>
            </w:r>
          </w:p>
        </w:tc>
        <w:tc>
          <w:tcPr>
            <w:tcW w:type="dxa" w:w="1728"/>
          </w:tcPr>
          <w:p>
            <w:r>
              <w:rPr>
                <w:rFonts w:ascii="Calibri" w:hAnsi="Calibri"/>
                <w:sz w:val="22"/>
              </w:rPr>
              <w:t>-$0.56</w:t>
            </w:r>
          </w:p>
        </w:tc>
        <w:tc>
          <w:tcPr>
            <w:tcW w:type="dxa" w:w="1728"/>
          </w:tcPr>
          <w:p>
            <w:r>
              <w:rPr>
                <w:rFonts w:ascii="Calibri" w:hAnsi="Calibri"/>
                <w:b/>
                <w:color w:val="30A46C"/>
                <w:sz w:val="22"/>
              </w:rPr>
              <w:t>+57%</w:t>
            </w:r>
          </w:p>
        </w:tc>
        <w:tc>
          <w:tcPr>
            <w:tcW w:type="dxa" w:w="1728"/>
          </w:tcPr>
          <w:p>
            <w:r>
              <w:rPr>
                <w:rFonts w:ascii="Calibri" w:hAnsi="Calibri"/>
                <w:b/>
                <w:color w:val="30A46C"/>
                <w:sz w:val="22"/>
              </w:rPr>
              <w:t>BEAT (less negative)</w:t>
            </w:r>
          </w:p>
        </w:tc>
      </w:tr>
      <w:tr>
        <w:tc>
          <w:tcPr>
            <w:tcW w:type="dxa" w:w="1728"/>
          </w:tcPr>
          <w:p>
            <w:r>
              <w:rPr>
                <w:rFonts w:ascii="Calibri" w:hAnsi="Calibri"/>
                <w:sz w:val="22"/>
              </w:rPr>
              <w:t>Q4 2024</w:t>
            </w:r>
          </w:p>
        </w:tc>
        <w:tc>
          <w:tcPr>
            <w:tcW w:type="dxa" w:w="1728"/>
          </w:tcPr>
          <w:p>
            <w:r>
              <w:rPr>
                <w:rFonts w:ascii="Calibri" w:hAnsi="Calibri"/>
                <w:sz w:val="22"/>
              </w:rPr>
              <w:t>$0.77</w:t>
            </w:r>
          </w:p>
        </w:tc>
        <w:tc>
          <w:tcPr>
            <w:tcW w:type="dxa" w:w="1728"/>
          </w:tcPr>
          <w:p>
            <w:r>
              <w:rPr>
                <w:rFonts w:ascii="Calibri" w:hAnsi="Calibri"/>
                <w:sz w:val="22"/>
              </w:rPr>
              <w:t>$0.05</w:t>
            </w:r>
          </w:p>
        </w:tc>
        <w:tc>
          <w:tcPr>
            <w:tcW w:type="dxa" w:w="1728"/>
          </w:tcPr>
          <w:p>
            <w:r>
              <w:rPr>
                <w:rFonts w:ascii="Calibri" w:hAnsi="Calibri"/>
                <w:b/>
                <w:color w:val="30A46C"/>
                <w:sz w:val="22"/>
              </w:rPr>
              <w:t>+1,440%</w:t>
            </w:r>
          </w:p>
        </w:tc>
        <w:tc>
          <w:tcPr>
            <w:tcW w:type="dxa" w:w="1728"/>
          </w:tcPr>
          <w:p>
            <w:r>
              <w:rPr>
                <w:rFonts w:ascii="Calibri" w:hAnsi="Calibri"/>
                <w:b/>
                <w:color w:val="30A46C"/>
                <w:sz w:val="22"/>
              </w:rPr>
              <w:t>MASSIVE BEAT</w:t>
            </w:r>
          </w:p>
        </w:tc>
      </w:tr>
      <w:tr>
        <w:tc>
          <w:tcPr>
            <w:tcW w:type="dxa" w:w="1728"/>
          </w:tcPr>
          <w:p>
            <w:r>
              <w:rPr>
                <w:rFonts w:ascii="Calibri" w:hAnsi="Calibri"/>
                <w:sz w:val="22"/>
              </w:rPr>
              <w:t>Q3 2024</w:t>
            </w:r>
          </w:p>
        </w:tc>
        <w:tc>
          <w:tcPr>
            <w:tcW w:type="dxa" w:w="1728"/>
          </w:tcPr>
          <w:p>
            <w:r>
              <w:rPr>
                <w:rFonts w:ascii="Calibri" w:hAnsi="Calibri"/>
                <w:sz w:val="22"/>
              </w:rPr>
              <w:t>$1.87</w:t>
            </w:r>
          </w:p>
        </w:tc>
        <w:tc>
          <w:tcPr>
            <w:tcW w:type="dxa" w:w="1728"/>
          </w:tcPr>
          <w:p>
            <w:r>
              <w:rPr>
                <w:rFonts w:ascii="Calibri" w:hAnsi="Calibri"/>
                <w:sz w:val="22"/>
              </w:rPr>
              <w:t>$1.01</w:t>
            </w:r>
          </w:p>
        </w:tc>
        <w:tc>
          <w:tcPr>
            <w:tcW w:type="dxa" w:w="1728"/>
          </w:tcPr>
          <w:p>
            <w:r>
              <w:rPr>
                <w:rFonts w:ascii="Calibri" w:hAnsi="Calibri"/>
                <w:b/>
                <w:color w:val="30A46C"/>
                <w:sz w:val="22"/>
              </w:rPr>
              <w:t>+85%</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$4.12</w:t>
            </w:r>
          </w:p>
        </w:tc>
        <w:tc>
          <w:tcPr>
            <w:tcW w:type="dxa" w:w="1728"/>
          </w:tcPr>
          <w:p>
            <w:r>
              <w:rPr>
                <w:rFonts w:ascii="Calibri" w:hAnsi="Calibri"/>
                <w:sz w:val="22"/>
              </w:rPr>
              <w:t>$3.14</w:t>
            </w:r>
          </w:p>
        </w:tc>
        <w:tc>
          <w:tcPr>
            <w:tcW w:type="dxa" w:w="1728"/>
          </w:tcPr>
          <w:p>
            <w:r>
              <w:rPr>
                <w:rFonts w:ascii="Calibri" w:hAnsi="Calibri"/>
                <w:b/>
                <w:color w:val="30A46C"/>
                <w:sz w:val="22"/>
              </w:rPr>
              <w:t>+31%</w:t>
            </w:r>
          </w:p>
        </w:tc>
        <w:tc>
          <w:tcPr>
            <w:tcW w:type="dxa" w:w="1728"/>
          </w:tcPr>
          <w:p>
            <w:r>
              <w:rPr>
                <w:rFonts w:ascii="Calibri" w:hAnsi="Calibri"/>
                <w:b/>
                <w:color w:val="30A46C"/>
                <w:sz w:val="22"/>
              </w:rPr>
              <w:t>BEAT</w:t>
            </w:r>
          </w:p>
        </w:tc>
      </w:tr>
    </w:tbl>
    <w:p>
      <w:r>
        <w:rPr>
          <w:rFonts w:ascii="Calibri" w:hAnsi="Calibri"/>
          <w:b/>
          <w:color w:val="525866"/>
          <w:sz w:val="22"/>
        </w:rPr>
        <w:t>KPI 2: Capture Rate — Refining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(pp)</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96.2%</w:t>
            </w:r>
          </w:p>
        </w:tc>
        <w:tc>
          <w:tcPr>
            <w:tcW w:type="dxa" w:w="1728"/>
          </w:tcPr>
          <w:p>
            <w:r>
              <w:rPr>
                <w:rFonts w:ascii="Calibri" w:hAnsi="Calibri"/>
                <w:sz w:val="22"/>
              </w:rPr>
              <w:t>85.2%</w:t>
            </w:r>
          </w:p>
        </w:tc>
        <w:tc>
          <w:tcPr>
            <w:tcW w:type="dxa" w:w="1728"/>
          </w:tcPr>
          <w:p>
            <w:r>
              <w:rPr>
                <w:rFonts w:ascii="Calibri" w:hAnsi="Calibri"/>
                <w:b/>
                <w:color w:val="30A46C"/>
                <w:sz w:val="22"/>
              </w:rPr>
              <w:t>+11.0 pp</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110.0%</w:t>
            </w:r>
          </w:p>
        </w:tc>
        <w:tc>
          <w:tcPr>
            <w:tcW w:type="dxa" w:w="1728"/>
          </w:tcPr>
          <w:p>
            <w:r>
              <w:rPr>
                <w:rFonts w:ascii="Calibri" w:hAnsi="Calibri"/>
                <w:sz w:val="22"/>
              </w:rPr>
              <w:t>104.8%</w:t>
            </w:r>
          </w:p>
        </w:tc>
        <w:tc>
          <w:tcPr>
            <w:tcW w:type="dxa" w:w="1728"/>
          </w:tcPr>
          <w:p>
            <w:r>
              <w:rPr>
                <w:rFonts w:ascii="Calibri" w:hAnsi="Calibri"/>
                <w:b/>
                <w:color w:val="30A46C"/>
                <w:sz w:val="22"/>
              </w:rPr>
              <w:t>+5.3 pp</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89.6%</w:t>
            </w:r>
          </w:p>
        </w:tc>
        <w:tc>
          <w:tcPr>
            <w:tcW w:type="dxa" w:w="1728"/>
          </w:tcPr>
          <w:p>
            <w:r>
              <w:rPr>
                <w:rFonts w:ascii="Calibri" w:hAnsi="Calibri"/>
                <w:sz w:val="22"/>
              </w:rPr>
              <w:t>93.2%</w:t>
            </w:r>
          </w:p>
        </w:tc>
        <w:tc>
          <w:tcPr>
            <w:tcW w:type="dxa" w:w="1728"/>
          </w:tcPr>
          <w:p>
            <w:r>
              <w:rPr>
                <w:rFonts w:ascii="Calibri" w:hAnsi="Calibri"/>
                <w:b/>
                <w:color w:val="E5484D"/>
                <w:sz w:val="22"/>
              </w:rPr>
              <w:t>-3.6 pp</w:t>
            </w:r>
          </w:p>
        </w:tc>
        <w:tc>
          <w:tcPr>
            <w:tcW w:type="dxa" w:w="1728"/>
          </w:tcPr>
          <w:p>
            <w:r>
              <w:rPr>
                <w:rFonts w:ascii="Calibri" w:hAnsi="Calibri"/>
                <w:b/>
                <w:color w:val="E5484D"/>
                <w:sz w:val="22"/>
              </w:rPr>
              <w:t>MISS</w:t>
            </w:r>
          </w:p>
        </w:tc>
      </w:tr>
      <w:tr>
        <w:tc>
          <w:tcPr>
            <w:tcW w:type="dxa" w:w="1728"/>
          </w:tcPr>
          <w:p>
            <w:r>
              <w:rPr>
                <w:rFonts w:ascii="Calibri" w:hAnsi="Calibri"/>
                <w:sz w:val="22"/>
              </w:rPr>
              <w:t>Q2 2025</w:t>
            </w:r>
          </w:p>
        </w:tc>
        <w:tc>
          <w:tcPr>
            <w:tcW w:type="dxa" w:w="1728"/>
          </w:tcPr>
          <w:p>
            <w:r>
              <w:rPr>
                <w:rFonts w:ascii="Calibri" w:hAnsi="Calibri"/>
                <w:sz w:val="22"/>
              </w:rPr>
              <w:t>102.3%</w:t>
            </w:r>
          </w:p>
        </w:tc>
        <w:tc>
          <w:tcPr>
            <w:tcW w:type="dxa" w:w="1728"/>
          </w:tcPr>
          <w:p>
            <w:r>
              <w:rPr>
                <w:rFonts w:ascii="Calibri" w:hAnsi="Calibri"/>
                <w:sz w:val="22"/>
              </w:rPr>
              <w:t>97.8%</w:t>
            </w:r>
          </w:p>
        </w:tc>
        <w:tc>
          <w:tcPr>
            <w:tcW w:type="dxa" w:w="1728"/>
          </w:tcPr>
          <w:p>
            <w:r>
              <w:rPr>
                <w:rFonts w:ascii="Calibri" w:hAnsi="Calibri"/>
                <w:b/>
                <w:color w:val="30A46C"/>
                <w:sz w:val="22"/>
              </w:rPr>
              <w:t>+4.5 pp</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99.4%</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Q4 2024</w:t>
            </w:r>
          </w:p>
        </w:tc>
        <w:tc>
          <w:tcPr>
            <w:tcW w:type="dxa" w:w="1728"/>
          </w:tcPr>
          <w:p>
            <w:r>
              <w:rPr>
                <w:rFonts w:ascii="Calibri" w:hAnsi="Calibri"/>
                <w:sz w:val="22"/>
              </w:rPr>
              <w:t>113.3%</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Q3 2024</w:t>
            </w:r>
          </w:p>
        </w:tc>
        <w:tc>
          <w:tcPr>
            <w:tcW w:type="dxa" w:w="1728"/>
          </w:tcPr>
          <w:p>
            <w:r>
              <w:rPr>
                <w:rFonts w:ascii="Calibri" w:hAnsi="Calibri"/>
                <w:sz w:val="22"/>
              </w:rPr>
              <w:t>95.8%</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Q2 2024</w:t>
            </w:r>
          </w:p>
        </w:tc>
        <w:tc>
          <w:tcPr>
            <w:tcW w:type="dxa" w:w="1728"/>
          </w:tcPr>
          <w:p>
            <w:r>
              <w:rPr>
                <w:rFonts w:ascii="Calibri" w:hAnsi="Calibri"/>
                <w:sz w:val="22"/>
              </w:rPr>
              <w:t>95.4%</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b/>
          <w:color w:val="525866"/>
          <w:sz w:val="22"/>
        </w:rPr>
        <w:t xml:space="preserve">Pattern: </w:t>
      </w:r>
      <w:r>
        <w:rPr>
          <w:rFonts w:ascii="Calibri" w:hAnsi="Calibri"/>
          <w:color w:val="525866"/>
          <w:sz w:val="22"/>
        </w:rPr>
        <w:t>MPC has beaten Operating EPS consensus in 7 of the last 8 quarters, with the sole miss in Q3 2025 driven by a softer capture rate (89.6% vs. 93.2% expected) — underscoring that capture rate is the primary driver of EPS surprise direction. The Q1 2026 beat of +117% was one of the largest in recent company history.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b/>
          <w:color w:val="525866"/>
          <w:sz w:val="22"/>
        </w:rPr>
        <w:t xml:space="preserve">Guidance has not been formally revised since the Q1 2026 earnings call, but management's tone is decidedly more confident — the new $5B buyback authorization and explicit signal that derivative timing effects would unwind in Q2 represent meaningful forward signals; </w:t>
      </w:r>
      <w:r>
        <w:rPr>
          <w:rFonts w:ascii="Calibri" w:hAnsi="Calibri"/>
          <w:color w:val="525866"/>
          <w:sz w:val="22"/>
        </w:rPr>
        <w:t>the constructive macro backdrop (Middle East conflict, record Canadian volumes, SPR crude purchases) has only strengthened since May 5.</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5)</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Refining Utilization</w:t>
            </w:r>
          </w:p>
        </w:tc>
        <w:tc>
          <w:tcPr>
            <w:tcW w:type="dxa" w:w="1728"/>
          </w:tcPr>
          <w:p>
            <w:r>
              <w:rPr>
                <w:rFonts w:ascii="Calibri" w:hAnsi="Calibri"/>
                <w:sz w:val="22"/>
              </w:rPr>
              <w:t>~94%</w:t>
            </w:r>
          </w:p>
        </w:tc>
        <w:tc>
          <w:tcPr>
            <w:tcW w:type="dxa" w:w="1728"/>
          </w:tcPr>
          <w:p>
            <w:r>
              <w:rPr>
                <w:rFonts w:ascii="Calibri" w:hAnsi="Calibri"/>
                <w:sz w:val="22"/>
              </w:rPr>
              <w:t>—</w:t>
            </w:r>
          </w:p>
        </w:tc>
        <w:tc>
          <w:tcPr>
            <w:tcW w:type="dxa" w:w="1728"/>
          </w:tcPr>
          <w:p>
            <w:r>
              <w:rPr>
                <w:rFonts w:ascii="Calibri" w:hAnsi="Calibri"/>
                <w:sz w:val="22"/>
              </w:rPr>
              <w:t>100.8%</w:t>
            </w:r>
          </w:p>
        </w:tc>
        <w:tc>
          <w:tcPr>
            <w:tcW w:type="dxa" w:w="1728"/>
          </w:tcPr>
          <w:p>
            <w:r>
              <w:rPr>
                <w:rFonts w:ascii="Calibri" w:hAnsi="Calibri"/>
                <w:sz w:val="22"/>
              </w:rPr>
              <w:t>Consensus above guidance; Q1 pulled forward ~40% of full-year turnarounds, enabling higher Q2 run rates</w:t>
            </w:r>
          </w:p>
        </w:tc>
      </w:tr>
      <w:tr>
        <w:tc>
          <w:tcPr>
            <w:tcW w:type="dxa" w:w="1728"/>
          </w:tcPr>
          <w:p>
            <w:r>
              <w:rPr>
                <w:rFonts w:ascii="Calibri" w:hAnsi="Calibri"/>
                <w:sz w:val="22"/>
              </w:rPr>
              <w:t>Full-Year 2026 Turnaround Costs</w:t>
            </w:r>
          </w:p>
        </w:tc>
        <w:tc>
          <w:tcPr>
            <w:tcW w:type="dxa" w:w="1728"/>
          </w:tcPr>
          <w:p>
            <w:r>
              <w:rPr>
                <w:rFonts w:ascii="Calibri" w:hAnsi="Calibri"/>
                <w:sz w:val="22"/>
              </w:rPr>
              <w:t>$1.35B</w:t>
            </w:r>
          </w:p>
        </w:tc>
        <w:tc>
          <w:tcPr>
            <w:tcW w:type="dxa" w:w="1728"/>
          </w:tcPr>
          <w:p>
            <w:r>
              <w:rPr>
                <w:rFonts w:ascii="Calibri" w:hAnsi="Calibri"/>
                <w:sz w:val="22"/>
              </w:rPr>
              <w:t>—</w:t>
            </w:r>
          </w:p>
        </w:tc>
        <w:tc>
          <w:tcPr>
            <w:tcW w:type="dxa" w:w="1728"/>
          </w:tcPr>
          <w:p>
            <w:r>
              <w:rPr>
                <w:rFonts w:ascii="Calibri" w:hAnsi="Calibri"/>
                <w:sz w:val="22"/>
              </w:rPr>
              <w:t>$1.33B</w:t>
            </w:r>
          </w:p>
        </w:tc>
        <w:tc>
          <w:tcPr>
            <w:tcW w:type="dxa" w:w="1728"/>
          </w:tcPr>
          <w:p>
            <w:r>
              <w:rPr>
                <w:rFonts w:ascii="Calibri" w:hAnsi="Calibri"/>
                <w:sz w:val="22"/>
              </w:rPr>
              <w:t>Unchanged; consensus slightly below guidance midpoint; $530M spent in Q1</w:t>
            </w:r>
          </w:p>
        </w:tc>
      </w:tr>
      <w:tr>
        <w:tc>
          <w:tcPr>
            <w:tcW w:type="dxa" w:w="1728"/>
          </w:tcPr>
          <w:p>
            <w:r>
              <w:rPr>
                <w:rFonts w:ascii="Calibri" w:hAnsi="Calibri"/>
                <w:sz w:val="22"/>
              </w:rPr>
              <w:t>Full-Year 2026 Refining CapEx</w:t>
            </w:r>
          </w:p>
        </w:tc>
        <w:tc>
          <w:tcPr>
            <w:tcW w:type="dxa" w:w="1728"/>
          </w:tcPr>
          <w:p>
            <w:r>
              <w:rPr>
                <w:rFonts w:ascii="Calibri" w:hAnsi="Calibri"/>
                <w:sz w:val="22"/>
              </w:rPr>
              <w:t>~$700M (value-enhancing); ~20% below 2025</w:t>
            </w:r>
          </w:p>
        </w:tc>
        <w:tc>
          <w:tcPr>
            <w:tcW w:type="dxa" w:w="1728"/>
          </w:tcPr>
          <w:p>
            <w:r>
              <w:rPr>
                <w:rFonts w:ascii="Calibri" w:hAnsi="Calibri"/>
                <w:sz w:val="22"/>
              </w:rPr>
              <w:t>—</w:t>
            </w:r>
          </w:p>
        </w:tc>
        <w:tc>
          <w:tcPr>
            <w:tcW w:type="dxa" w:w="1728"/>
          </w:tcPr>
          <w:p>
            <w:r>
              <w:rPr>
                <w:rFonts w:ascii="Calibri" w:hAnsi="Calibri"/>
                <w:sz w:val="22"/>
              </w:rPr>
              <w:t>N/A — not tracked separately in VA</w:t>
            </w:r>
          </w:p>
        </w:tc>
        <w:tc>
          <w:tcPr>
            <w:tcW w:type="dxa" w:w="1728"/>
          </w:tcPr>
          <w:p>
            <w:r>
              <w:rPr>
                <w:rFonts w:ascii="Calibri" w:hAnsi="Calibri"/>
                <w:sz w:val="22"/>
              </w:rPr>
              <w:t>Unchanged; ~25% directed to Garyville; further reductions guided for 2027–2028</w:t>
            </w:r>
          </w:p>
        </w:tc>
      </w:tr>
      <w:tr>
        <w:tc>
          <w:tcPr>
            <w:tcW w:type="dxa" w:w="1728"/>
          </w:tcPr>
          <w:p>
            <w:r>
              <w:rPr>
                <w:rFonts w:ascii="Calibri" w:hAnsi="Calibri"/>
                <w:sz w:val="22"/>
              </w:rPr>
              <w:t>MPLX Distribution Growth</w:t>
            </w:r>
          </w:p>
        </w:tc>
        <w:tc>
          <w:tcPr>
            <w:tcW w:type="dxa" w:w="1728"/>
          </w:tcPr>
          <w:p>
            <w:r>
              <w:rPr>
                <w:rFonts w:ascii="Calibri" w:hAnsi="Calibri"/>
                <w:sz w:val="22"/>
              </w:rPr>
              <w:t>12.5% for next 2 years; &gt;$3.5B annual distributions to MPC</w:t>
            </w:r>
          </w:p>
        </w:tc>
        <w:tc>
          <w:tcPr>
            <w:tcW w:type="dxa" w:w="1728"/>
          </w:tcPr>
          <w:p>
            <w:r>
              <w:rPr>
                <w:rFonts w:ascii="Calibri" w:hAnsi="Calibri"/>
                <w:sz w:val="22"/>
              </w:rPr>
              <w:t>—</w:t>
            </w:r>
          </w:p>
        </w:tc>
        <w:tc>
          <w:tcPr>
            <w:tcW w:type="dxa" w:w="1728"/>
          </w:tcPr>
          <w:p>
            <w:r>
              <w:rPr>
                <w:rFonts w:ascii="Calibri" w:hAnsi="Calibri"/>
                <w:sz w:val="22"/>
              </w:rPr>
              <w:t>N/A — MPLX-level metric</w:t>
            </w:r>
          </w:p>
        </w:tc>
        <w:tc>
          <w:tcPr>
            <w:tcW w:type="dxa" w:w="1728"/>
          </w:tcPr>
          <w:p>
            <w:r>
              <w:rPr>
                <w:rFonts w:ascii="Calibri" w:hAnsi="Calibri"/>
                <w:sz w:val="22"/>
              </w:rPr>
              <w:t>Unchanged; underpins MPC's capital return capacity; ~90% of MPLX growth capex in nat gas/NGL</w:t>
            </w:r>
          </w:p>
        </w:tc>
      </w:tr>
      <w:tr>
        <w:tc>
          <w:tcPr>
            <w:tcW w:type="dxa" w:w="1728"/>
          </w:tcPr>
          <w:p>
            <w:r>
              <w:rPr>
                <w:rFonts w:ascii="Calibri" w:hAnsi="Calibri"/>
                <w:sz w:val="22"/>
              </w:rPr>
              <w:t>Share Repurchase Authorization</w:t>
            </w:r>
          </w:p>
        </w:tc>
        <w:tc>
          <w:tcPr>
            <w:tcW w:type="dxa" w:w="1728"/>
          </w:tcPr>
          <w:p>
            <w:r>
              <w:rPr>
                <w:rFonts w:ascii="Calibri" w:hAnsi="Calibri"/>
                <w:sz w:val="22"/>
              </w:rPr>
              <w:t>New $5B authorization announced May 5, 2026</w:t>
            </w:r>
          </w:p>
        </w:tc>
        <w:tc>
          <w:tcPr>
            <w:tcW w:type="dxa" w:w="1728"/>
          </w:tcPr>
          <w:p>
            <w:r>
              <w:rPr>
                <w:rFonts w:ascii="Calibri" w:hAnsi="Calibri"/>
                <w:sz w:val="22"/>
              </w:rPr>
              <w:t>—</w:t>
            </w:r>
          </w:p>
        </w:tc>
        <w:tc>
          <w:tcPr>
            <w:tcW w:type="dxa" w:w="1728"/>
          </w:tcPr>
          <w:p>
            <w:r>
              <w:rPr>
                <w:rFonts w:ascii="Calibri" w:hAnsi="Calibri"/>
                <w:sz w:val="22"/>
              </w:rPr>
              <w:t>$2.25B consensus for Q2 2026</w:t>
            </w:r>
          </w:p>
        </w:tc>
        <w:tc>
          <w:tcPr>
            <w:tcW w:type="dxa" w:w="1728"/>
          </w:tcPr>
          <w:p>
            <w:r>
              <w:rPr>
                <w:rFonts w:ascii="Calibri" w:hAnsi="Calibri"/>
                <w:sz w:val="22"/>
              </w:rPr>
              <w:t>↑ Mgmt signaled acceleration of buybacks given favorable macro; $750M repurchased in Q1</w:t>
            </w:r>
          </w:p>
        </w:tc>
      </w:tr>
      <w:tr>
        <w:tc>
          <w:tcPr>
            <w:tcW w:type="dxa" w:w="1728"/>
          </w:tcPr>
          <w:p>
            <w:r>
              <w:rPr>
                <w:rFonts w:ascii="Calibri" w:hAnsi="Calibri"/>
                <w:sz w:val="22"/>
              </w:rPr>
              <w:t>Q2 2026 Capture Rate</w:t>
            </w:r>
          </w:p>
        </w:tc>
        <w:tc>
          <w:tcPr>
            <w:tcW w:type="dxa" w:w="1728"/>
          </w:tcPr>
          <w:p>
            <w:r>
              <w:rPr>
                <w:rFonts w:ascii="Calibri" w:hAnsi="Calibri"/>
                <w:sz w:val="22"/>
              </w:rPr>
              <w:t>Derivative timing effects from Q1 expected to unwind in Q2; capture could exceed 100%</w:t>
            </w:r>
          </w:p>
        </w:tc>
        <w:tc>
          <w:tcPr>
            <w:tcW w:type="dxa" w:w="1728"/>
          </w:tcPr>
          <w:p>
            <w:r>
              <w:rPr>
                <w:rFonts w:ascii="Calibri" w:hAnsi="Calibri"/>
                <w:sz w:val="22"/>
              </w:rPr>
              <w:t>—</w:t>
            </w:r>
          </w:p>
        </w:tc>
        <w:tc>
          <w:tcPr>
            <w:tcW w:type="dxa" w:w="1728"/>
          </w:tcPr>
          <w:p>
            <w:r>
              <w:rPr>
                <w:rFonts w:ascii="Calibri" w:hAnsi="Calibri"/>
                <w:sz w:val="22"/>
              </w:rPr>
              <w:t>93.3%</w:t>
            </w:r>
          </w:p>
        </w:tc>
        <w:tc>
          <w:tcPr>
            <w:tcW w:type="dxa" w:w="1728"/>
          </w:tcPr>
          <w:p>
            <w:r>
              <w:rPr>
                <w:rFonts w:ascii="Calibri" w:hAnsi="Calibri"/>
                <w:sz w:val="22"/>
              </w:rPr>
              <w:t>Consensus materially below mgmt signal; significant upside risk if unwind materializes</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b/>
          <w:color w:val="525866"/>
          <w:sz w:val="22"/>
        </w:rPr>
        <w:t xml:space="preserve">Estimates have surged since the Q1 print — Q2 2026 Operating EPS consensus is up ~24% and FY2026 consensus is up ~45% from the post-Q1 baseline — tracking well above the guidance framework management provided; </w:t>
      </w:r>
      <w:r>
        <w:rPr>
          <w:rFonts w:ascii="Calibri" w:hAnsi="Calibri"/>
          <w:color w:val="525866"/>
          <w:sz w:val="22"/>
        </w:rPr>
        <w:t>the gap between consensus and guidance (particularly on capture rate) represents upside risk rather than a stretched bar, given peer results already confirm the margin environment.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~5/12/26)</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Operating EPS — Q2 2026</w:t>
            </w:r>
          </w:p>
        </w:tc>
        <w:tc>
          <w:tcPr>
            <w:tcW w:type="dxa" w:w="1080"/>
          </w:tcPr>
          <w:p>
            <w:r>
              <w:rPr>
                <w:rFonts w:ascii="Calibri" w:hAnsi="Calibri"/>
                <w:sz w:val="22"/>
              </w:rPr>
              <w:t>$11.41</w:t>
            </w:r>
          </w:p>
        </w:tc>
        <w:tc>
          <w:tcPr>
            <w:tcW w:type="dxa" w:w="1080"/>
          </w:tcPr>
          <w:p>
            <w:r>
              <w:rPr>
                <w:rFonts w:ascii="Calibri" w:hAnsi="Calibri"/>
                <w:sz w:val="22"/>
              </w:rPr>
              <w:t>$14.11</w:t>
            </w:r>
          </w:p>
        </w:tc>
        <w:tc>
          <w:tcPr>
            <w:tcW w:type="dxa" w:w="1080"/>
          </w:tcPr>
          <w:p>
            <w:r>
              <w:rPr>
                <w:rFonts w:ascii="Calibri" w:hAnsi="Calibri"/>
                <w:b/>
                <w:color w:val="30A46C"/>
                <w:sz w:val="22"/>
              </w:rPr>
              <w:t>+23.7%</w:t>
            </w:r>
          </w:p>
        </w:tc>
        <w:tc>
          <w:tcPr>
            <w:tcW w:type="dxa" w:w="1080"/>
          </w:tcPr>
          <w:p>
            <w:r>
              <w:rPr>
                <w:rFonts w:ascii="Calibri" w:hAnsi="Calibri"/>
                <w:sz w:val="22"/>
              </w:rPr>
              <w:t>No specific EPS guidance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Operating EPS — FY2026</w:t>
            </w:r>
          </w:p>
        </w:tc>
        <w:tc>
          <w:tcPr>
            <w:tcW w:type="dxa" w:w="1080"/>
          </w:tcPr>
          <w:p>
            <w:r>
              <w:rPr>
                <w:rFonts w:ascii="Calibri" w:hAnsi="Calibri"/>
                <w:sz w:val="22"/>
              </w:rPr>
              <w:t>$28.10</w:t>
            </w:r>
          </w:p>
        </w:tc>
        <w:tc>
          <w:tcPr>
            <w:tcW w:type="dxa" w:w="1080"/>
          </w:tcPr>
          <w:p>
            <w:r>
              <w:rPr>
                <w:rFonts w:ascii="Calibri" w:hAnsi="Calibri"/>
                <w:sz w:val="22"/>
              </w:rPr>
              <w:t>$40.78</w:t>
            </w:r>
          </w:p>
        </w:tc>
        <w:tc>
          <w:tcPr>
            <w:tcW w:type="dxa" w:w="1080"/>
          </w:tcPr>
          <w:p>
            <w:r>
              <w:rPr>
                <w:rFonts w:ascii="Calibri" w:hAnsi="Calibri"/>
                <w:b/>
                <w:color w:val="30A46C"/>
                <w:sz w:val="22"/>
              </w:rPr>
              <w:t>+45.1%</w:t>
            </w:r>
          </w:p>
        </w:tc>
        <w:tc>
          <w:tcPr>
            <w:tcW w:type="dxa" w:w="1080"/>
          </w:tcPr>
          <w:p>
            <w:r>
              <w:rPr>
                <w:rFonts w:ascii="Calibri" w:hAnsi="Calibri"/>
                <w:sz w:val="22"/>
              </w:rPr>
              <w:t>No specific EPS guidance; mgmt signaled ability to match/exceed 2025's $4.5B capital return</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Capture Rate — Q2 2026</w:t>
            </w:r>
          </w:p>
        </w:tc>
        <w:tc>
          <w:tcPr>
            <w:tcW w:type="dxa" w:w="1080"/>
          </w:tcPr>
          <w:p>
            <w:r>
              <w:rPr>
                <w:rFonts w:ascii="Calibri" w:hAnsi="Calibri"/>
                <w:sz w:val="22"/>
              </w:rPr>
              <w:t>97.8%</w:t>
            </w:r>
          </w:p>
        </w:tc>
        <w:tc>
          <w:tcPr>
            <w:tcW w:type="dxa" w:w="1080"/>
          </w:tcPr>
          <w:p>
            <w:r>
              <w:rPr>
                <w:rFonts w:ascii="Calibri" w:hAnsi="Calibri"/>
                <w:sz w:val="22"/>
              </w:rPr>
              <w:t>93.3%</w:t>
            </w:r>
          </w:p>
        </w:tc>
        <w:tc>
          <w:tcPr>
            <w:tcW w:type="dxa" w:w="1080"/>
          </w:tcPr>
          <w:p>
            <w:r>
              <w:rPr>
                <w:rFonts w:ascii="Calibri" w:hAnsi="Calibri"/>
                <w:b/>
                <w:color w:val="E5484D"/>
                <w:sz w:val="22"/>
              </w:rPr>
              <w:t>-4.6 pp</w:t>
            </w:r>
          </w:p>
        </w:tc>
        <w:tc>
          <w:tcPr>
            <w:tcW w:type="dxa" w:w="1080"/>
          </w:tcPr>
          <w:p>
            <w:r>
              <w:rPr>
                <w:rFonts w:ascii="Calibri" w:hAnsi="Calibri"/>
                <w:sz w:val="22"/>
              </w:rPr>
              <w:t>Derivative timing unwind expected; capture could exceed 100%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Consensus ~7 pp below mgmt signal; significant upside risk</w:t>
            </w:r>
          </w:p>
        </w:tc>
      </w:tr>
      <w:tr>
        <w:tc>
          <w:tcPr>
            <w:tcW w:type="dxa" w:w="1080"/>
          </w:tcPr>
          <w:p>
            <w:r>
              <w:rPr>
                <w:rFonts w:ascii="Calibri" w:hAnsi="Calibri"/>
                <w:sz w:val="22"/>
              </w:rPr>
              <w:t>Total Capacity Utilization — Q2 2026</w:t>
            </w:r>
          </w:p>
        </w:tc>
        <w:tc>
          <w:tcPr>
            <w:tcW w:type="dxa" w:w="1080"/>
          </w:tcPr>
          <w:p>
            <w:r>
              <w:rPr>
                <w:rFonts w:ascii="Calibri" w:hAnsi="Calibri"/>
                <w:sz w:val="22"/>
              </w:rPr>
              <w:t>100.3%</w:t>
            </w:r>
          </w:p>
        </w:tc>
        <w:tc>
          <w:tcPr>
            <w:tcW w:type="dxa" w:w="1080"/>
          </w:tcPr>
          <w:p>
            <w:r>
              <w:rPr>
                <w:rFonts w:ascii="Calibri" w:hAnsi="Calibri"/>
                <w:sz w:val="22"/>
              </w:rPr>
              <w:t>100.8%</w:t>
            </w:r>
          </w:p>
        </w:tc>
        <w:tc>
          <w:tcPr>
            <w:tcW w:type="dxa" w:w="1080"/>
          </w:tcPr>
          <w:p>
            <w:r>
              <w:rPr>
                <w:rFonts w:ascii="Calibri" w:hAnsi="Calibri"/>
                <w:sz w:val="22"/>
              </w:rPr>
              <w:t>+0.5 pp</w:t>
            </w:r>
          </w:p>
        </w:tc>
        <w:tc>
          <w:tcPr>
            <w:tcW w:type="dxa" w:w="1080"/>
          </w:tcPr>
          <w:p>
            <w:r>
              <w:rPr>
                <w:rFonts w:ascii="Calibri" w:hAnsi="Calibri"/>
                <w:sz w:val="22"/>
              </w:rPr>
              <w:t>~94% guided (refining utilization)</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Consensus above guidance; implies execution upside</w:t>
            </w:r>
          </w:p>
        </w:tc>
      </w:tr>
      <w:tr>
        <w:tc>
          <w:tcPr>
            <w:tcW w:type="dxa" w:w="1080"/>
          </w:tcPr>
          <w:p>
            <w:r>
              <w:rPr>
                <w:rFonts w:ascii="Calibri" w:hAnsi="Calibri"/>
                <w:sz w:val="22"/>
              </w:rPr>
              <w:t>Refining EBITDA — Q2 2026</w:t>
            </w:r>
          </w:p>
        </w:tc>
        <w:tc>
          <w:tcPr>
            <w:tcW w:type="dxa" w:w="1080"/>
          </w:tcPr>
          <w:p>
            <w:r>
              <w:rPr>
                <w:rFonts w:ascii="Calibri" w:hAnsi="Calibri"/>
                <w:sz w:val="22"/>
              </w:rPr>
              <w:t>$3,918M</w:t>
            </w:r>
          </w:p>
        </w:tc>
        <w:tc>
          <w:tcPr>
            <w:tcW w:type="dxa" w:w="1080"/>
          </w:tcPr>
          <w:p>
            <w:r>
              <w:rPr>
                <w:rFonts w:ascii="Calibri" w:hAnsi="Calibri"/>
                <w:sz w:val="22"/>
              </w:rPr>
              <w:t>$5,123M</w:t>
            </w:r>
          </w:p>
        </w:tc>
        <w:tc>
          <w:tcPr>
            <w:tcW w:type="dxa" w:w="1080"/>
          </w:tcPr>
          <w:p>
            <w:r>
              <w:rPr>
                <w:rFonts w:ascii="Calibri" w:hAnsi="Calibri"/>
                <w:b/>
                <w:color w:val="30A46C"/>
                <w:sz w:val="22"/>
              </w:rPr>
              <w:t>+30.8%</w:t>
            </w:r>
          </w:p>
        </w:tc>
        <w:tc>
          <w:tcPr>
            <w:tcW w:type="dxa" w:w="1080"/>
          </w:tcPr>
          <w:p>
            <w:r>
              <w:rPr>
                <w:rFonts w:ascii="Calibri" w:hAnsi="Calibri"/>
                <w:sz w:val="22"/>
              </w:rPr>
              <w:t>Constructive macro backdrop; Gulf Coast and West Coast tailwinds cited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Refining EBITDA — FY2026</w:t>
            </w:r>
          </w:p>
        </w:tc>
        <w:tc>
          <w:tcPr>
            <w:tcW w:type="dxa" w:w="1080"/>
          </w:tcPr>
          <w:p>
            <w:r>
              <w:rPr>
                <w:rFonts w:ascii="Calibri" w:hAnsi="Calibri"/>
                <w:sz w:val="22"/>
              </w:rPr>
              <w:t>$9,906M</w:t>
            </w:r>
          </w:p>
        </w:tc>
        <w:tc>
          <w:tcPr>
            <w:tcW w:type="dxa" w:w="1080"/>
          </w:tcPr>
          <w:p>
            <w:r>
              <w:rPr>
                <w:rFonts w:ascii="Calibri" w:hAnsi="Calibri"/>
                <w:sz w:val="22"/>
              </w:rPr>
              <w:t>$14,061M</w:t>
            </w:r>
          </w:p>
        </w:tc>
        <w:tc>
          <w:tcPr>
            <w:tcW w:type="dxa" w:w="1080"/>
          </w:tcPr>
          <w:p>
            <w:r>
              <w:rPr>
                <w:rFonts w:ascii="Calibri" w:hAnsi="Calibri"/>
                <w:b/>
                <w:color w:val="30A46C"/>
                <w:sz w:val="22"/>
              </w:rPr>
              <w:t>+41.9%</w:t>
            </w:r>
          </w:p>
        </w:tc>
        <w:tc>
          <w:tcPr>
            <w:tcW w:type="dxa" w:w="1080"/>
          </w:tcPr>
          <w:p>
            <w:r>
              <w:rPr>
                <w:rFonts w:ascii="Calibri" w:hAnsi="Calibri"/>
                <w:sz w:val="22"/>
              </w:rPr>
              <w:t>No specific FY EBITDA guidance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FCF — Q2 2026</w:t>
            </w:r>
          </w:p>
        </w:tc>
        <w:tc>
          <w:tcPr>
            <w:tcW w:type="dxa" w:w="1080"/>
          </w:tcPr>
          <w:p>
            <w:r>
              <w:rPr>
                <w:rFonts w:ascii="Calibri" w:hAnsi="Calibri"/>
                <w:sz w:val="22"/>
              </w:rPr>
              <w:t>$3,208M</w:t>
            </w:r>
          </w:p>
        </w:tc>
        <w:tc>
          <w:tcPr>
            <w:tcW w:type="dxa" w:w="1080"/>
          </w:tcPr>
          <w:p>
            <w:r>
              <w:rPr>
                <w:rFonts w:ascii="Calibri" w:hAnsi="Calibri"/>
                <w:sz w:val="22"/>
              </w:rPr>
              <w:t>$4,253M</w:t>
            </w:r>
          </w:p>
        </w:tc>
        <w:tc>
          <w:tcPr>
            <w:tcW w:type="dxa" w:w="1080"/>
          </w:tcPr>
          <w:p>
            <w:r>
              <w:rPr>
                <w:rFonts w:ascii="Calibri" w:hAnsi="Calibri"/>
                <w:b/>
                <w:color w:val="30A46C"/>
                <w:sz w:val="22"/>
              </w:rPr>
              <w:t>+32.6%</w:t>
            </w:r>
          </w:p>
        </w:tc>
        <w:tc>
          <w:tcPr>
            <w:tcW w:type="dxa" w:w="1080"/>
          </w:tcPr>
          <w:p>
            <w:r>
              <w:rPr>
                <w:rFonts w:ascii="Calibri" w:hAnsi="Calibri"/>
                <w:sz w:val="22"/>
              </w:rPr>
              <w:t>No specific FCF guidance; $5B buyback authorization signals confidence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color w:val="525866"/>
          <w:sz w:val="22"/>
        </w:rPr>
        <w:t>Estimates have moved sharply higher since the Q1 print, with FY2026 Operating EPS up 45% and Q2 2026 Refining EBITDA up 31% from the post-earnings baseline — driven by the Middle East conflict tailwind and peer confirmation of the margin environment. The notable divergence is on capture rate, where consensus (93.3%) sits well below management's signal of potential 100%+ capture in Q2 as derivative timing effects unwind; this gap is the single largest source of upside risk heading into the print. Source: Visible Alpha Consensus and Actuals Data.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b/>
          <w:color w:val="525866"/>
          <w:sz w:val="22"/>
        </w:rPr>
        <w:t>MPC has surged ~18% since the Q1 2026 earnings date (vs. CRAK +4%, SPY +5%), with the move driven almost entirely by estimate revisions and multiple re-rating on the back of the extraordinary macro tailwind — the stock has meaningfully outperformed the refining sector, suggesting the market is pricing in MPC-specific execution advantages (inland crude sourcing, capture rate) rather than just sector beta.</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MPC vs. CRAK (VanEck Oil Refiners ETF) vs. S&amp;P 500 (SPY) — Indexed to 100 at Q1 2026 Earnings Date (May 5, 2026). Source: Stock Price Data.</w:t>
      </w:r>
    </w:p>
    <w:p>
      <w:r>
        <w:rPr>
          <w:rFonts w:ascii="Calibri" w:hAnsi="Calibri"/>
          <w:color w:val="525866"/>
          <w:sz w:val="22"/>
        </w:rPr>
        <w:t>MPC closed at $260.51 on the Q1 earnings date (May 5, 2026) and reached $307.03 by August 4, 2026 — a gain of +17.9% vs. CRAK's +4.2% and SPY's +4.7% over the same period. The stock initially pulled back ~7% in the week following earnings (May 6–8) as the market digested the derivative timing caveat on capture rate, before recovering and accelerating sharply from early July as the Middle East conflict deepened and peer read-throughs (VLO and PBF reporting July 30) confirmed the extraordinary margin environment. The stock hit a new all-time high of $319.76 on July 21, 2026. The outperformance vs. CRAK confirms that MPC's move is not purely sector-driven — the market is rewarding the company's inland crude sourcing advantage, near-100% capture rate, and accelerating buyback program. At current levels, the stock has partially priced in a strong Q2 print, but the magnitude of peer beats and the constructive Q3 forward commentary from VLO and PBF suggest further upside if MPC's capture rate exceeds consensus.</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b/>
          <w:color w:val="525866"/>
          <w:sz w:val="22"/>
        </w:rPr>
        <w:t>The most important development since Q1 earnings is the deepening of the Middle East conflict, which has taken ~5–6 million bpd of global refining capacity offline and driven global product inventories to multi-year lows — a structural tailwind that MPC is uniquely positioned to exploit via its inland crude sourcing and export optionality.</w:t>
      </w:r>
    </w:p>
    <w:p>
      <w:pPr>
        <w:pStyle w:val="ListBullet"/>
        <w:ind w:left="360" w:hanging="360"/>
      </w:pPr>
      <w:r>
        <w:rPr>
          <w:rFonts w:ascii="Calibri" w:hAnsi="Calibri"/>
          <w:b/>
          <w:color w:val="525866"/>
          <w:sz w:val="22"/>
        </w:rPr>
        <w:t>May 5, 2026 — Q1 2026 Earnings Beat &amp; $5B Buyback Authorization:</w:t>
      </w:r>
      <w:r>
        <w:rPr>
          <w:rFonts w:ascii="Calibri" w:hAnsi="Calibri"/>
          <w:color w:val="525866"/>
          <w:sz w:val="22"/>
        </w:rPr>
        <w:t xml:space="preserve"> MPC reported Q1 2026 Operating EPS of $1.65 vs. consensus of $0.76 (+117% beat), with capture rate of 99% (would have exceeded 100% ex-derivative timing). Company announced a new $5B incremental share repurchase authorization, signaling management's confidence in sustained cash generation. Stock surged to a new all-time high on the day. </w:t>
      </w:r>
      <w:r>
        <w:rPr>
          <w:rFonts w:ascii="Calibri" w:hAnsi="Calibri"/>
          <w:i/>
          <w:color w:val="525866"/>
          <w:sz w:val="22"/>
        </w:rPr>
        <w:t>Implication:</w:t>
      </w:r>
      <w:r>
        <w:rPr>
          <w:rFonts w:ascii="Calibri" w:hAnsi="Calibri"/>
          <w:color w:val="525866"/>
          <w:sz w:val="22"/>
        </w:rPr>
        <w:t xml:space="preserve"> Sets a high bar for Q2 but also establishes that MPC's commercial organization can exploit volatile markets better than peers.</w:t>
      </w:r>
    </w:p>
    <w:p>
      <w:pPr>
        <w:pStyle w:val="ListBullet"/>
        <w:ind w:left="360" w:hanging="360"/>
      </w:pPr>
      <w:r>
        <w:rPr>
          <w:rFonts w:ascii="Calibri" w:hAnsi="Calibri"/>
          <w:b/>
          <w:color w:val="525866"/>
          <w:sz w:val="22"/>
        </w:rPr>
        <w:t>May 5, 2026 — Q2 2026 Guidance: 94% Utilization &amp; Derivative Timing Unwind:</w:t>
      </w:r>
      <w:r>
        <w:rPr>
          <w:rFonts w:ascii="Calibri" w:hAnsi="Calibri"/>
          <w:color w:val="525866"/>
          <w:sz w:val="22"/>
        </w:rPr>
        <w:t xml:space="preserve"> Management guided to ~94% utilization for Q2 (vs. 89% in Q1) and explicitly flagged that derivative timing effects that weighed on Q1 capture were expected to unwind in Q2, implying capture could exceed 100%. Record Canadian volumes and ~10M bbl of SPR crude purchased from DOE for Q2 delivery. </w:t>
      </w:r>
      <w:r>
        <w:rPr>
          <w:rFonts w:ascii="Calibri" w:hAnsi="Calibri"/>
          <w:i/>
          <w:color w:val="525866"/>
          <w:sz w:val="22"/>
        </w:rPr>
        <w:t>Implication:</w:t>
      </w:r>
      <w:r>
        <w:rPr>
          <w:rFonts w:ascii="Calibri" w:hAnsi="Calibri"/>
          <w:color w:val="525866"/>
          <w:sz w:val="22"/>
        </w:rPr>
        <w:t xml:space="preserve"> Consensus capture rate of 93.3% is materially below management's signal; this is the single largest source of upside risk.</w:t>
      </w:r>
    </w:p>
    <w:p>
      <w:pPr>
        <w:pStyle w:val="ListBullet"/>
        <w:ind w:left="360" w:hanging="360"/>
      </w:pPr>
      <w:r>
        <w:rPr>
          <w:rFonts w:ascii="Calibri" w:hAnsi="Calibri"/>
          <w:b/>
          <w:color w:val="525866"/>
          <w:sz w:val="22"/>
        </w:rPr>
        <w:t>May 5–June 2026 — Middle East Conflict Deepens, ~6M bpd Offline:</w:t>
      </w:r>
      <w:r>
        <w:rPr>
          <w:rFonts w:ascii="Calibri" w:hAnsi="Calibri"/>
          <w:color w:val="525866"/>
          <w:sz w:val="22"/>
        </w:rPr>
        <w:t xml:space="preserve"> The Iran conflict has taken approximately 6 million barrels per day of global refining capacity offline (close to 6% of global capacity), driving global product inventories to multi-year lows. MPC is largely insulated from crude supply disruptions given its predominantly U.S. and Canadian sourcing. </w:t>
      </w:r>
      <w:r>
        <w:rPr>
          <w:rFonts w:ascii="Calibri" w:hAnsi="Calibri"/>
          <w:i/>
          <w:color w:val="525866"/>
          <w:sz w:val="22"/>
        </w:rPr>
        <w:t>Implication:</w:t>
      </w:r>
      <w:r>
        <w:rPr>
          <w:rFonts w:ascii="Calibri" w:hAnsi="Calibri"/>
          <w:color w:val="525866"/>
          <w:sz w:val="22"/>
        </w:rPr>
        <w:t xml:space="preserve"> Structural tailwind for refining margins that is expected to persist well into 2027 per peer commentary.</w:t>
      </w:r>
    </w:p>
    <w:p>
      <w:pPr>
        <w:pStyle w:val="ListBullet"/>
        <w:ind w:left="360" w:hanging="360"/>
      </w:pPr>
      <w:r>
        <w:rPr>
          <w:rFonts w:ascii="Calibri" w:hAnsi="Calibri"/>
          <w:b/>
          <w:color w:val="525866"/>
          <w:sz w:val="22"/>
        </w:rPr>
        <w:t>June 16, 2026 — MPC Announces Q2 2026 Earnings Date (August 4, 2026):</w:t>
      </w:r>
      <w:r>
        <w:rPr>
          <w:rFonts w:ascii="Calibri" w:hAnsi="Calibri"/>
          <w:color w:val="525866"/>
          <w:sz w:val="22"/>
        </w:rPr>
        <w:t xml:space="preserve"> Routine press release confirming the earnings date. No guidance update or pre-announcement. </w:t>
      </w:r>
      <w:r>
        <w:rPr>
          <w:rFonts w:ascii="Calibri" w:hAnsi="Calibri"/>
          <w:i/>
          <w:color w:val="525866"/>
          <w:sz w:val="22"/>
        </w:rPr>
        <w:t>Implication:</w:t>
      </w:r>
      <w:r>
        <w:rPr>
          <w:rFonts w:ascii="Calibri" w:hAnsi="Calibri"/>
          <w:color w:val="525866"/>
          <w:sz w:val="22"/>
        </w:rPr>
        <w:t xml:space="preserve"> Absence of a pre-announcement (positive or negative) is itself a mild positive signal given the extraordinary macro environment.</w:t>
      </w:r>
    </w:p>
    <w:p>
      <w:pPr>
        <w:pStyle w:val="ListBullet"/>
        <w:ind w:left="360" w:hanging="360"/>
      </w:pPr>
      <w:r>
        <w:rPr>
          <w:rFonts w:ascii="Calibri" w:hAnsi="Calibri"/>
          <w:b/>
          <w:color w:val="525866"/>
          <w:sz w:val="22"/>
        </w:rPr>
        <w:t>June 29, 2026 — Director Abdulaziz F. Alkhayyal Passes Away:</w:t>
      </w:r>
      <w:r>
        <w:rPr>
          <w:rFonts w:ascii="Calibri" w:hAnsi="Calibri"/>
          <w:color w:val="525866"/>
          <w:sz w:val="22"/>
        </w:rPr>
        <w:t xml:space="preserve"> MPC filed an 8-K announcing the passing of a board director. No operational or financial impact. </w:t>
      </w:r>
      <w:r>
        <w:rPr>
          <w:rFonts w:ascii="Calibri" w:hAnsi="Calibri"/>
          <w:i/>
          <w:color w:val="525866"/>
          <w:sz w:val="22"/>
        </w:rPr>
        <w:t>Implication:</w:t>
      </w:r>
      <w:r>
        <w:rPr>
          <w:rFonts w:ascii="Calibri" w:hAnsi="Calibri"/>
          <w:color w:val="525866"/>
          <w:sz w:val="22"/>
        </w:rPr>
        <w:t xml:space="preserve"> No material read-through for the earnings print.</w:t>
      </w:r>
    </w:p>
    <w:p>
      <w:pPr>
        <w:pStyle w:val="ListBullet"/>
        <w:ind w:left="360" w:hanging="360"/>
      </w:pPr>
      <w:r>
        <w:rPr>
          <w:rFonts w:ascii="Calibri" w:hAnsi="Calibri"/>
          <w:b/>
          <w:color w:val="525866"/>
          <w:sz w:val="22"/>
        </w:rPr>
        <w:t>June 29, 2026 — TD Cowen Lowers Price Target to $315 (from $320), Maintains Buy:</w:t>
      </w:r>
      <w:r>
        <w:rPr>
          <w:rFonts w:ascii="Calibri" w:hAnsi="Calibri"/>
          <w:color w:val="525866"/>
          <w:sz w:val="22"/>
        </w:rPr>
        <w:t xml:space="preserve"> Minor PT reduction; rating unchanged. </w:t>
      </w:r>
      <w:r>
        <w:rPr>
          <w:rFonts w:ascii="Calibri" w:hAnsi="Calibri"/>
          <w:i/>
          <w:color w:val="525866"/>
          <w:sz w:val="22"/>
        </w:rPr>
        <w:t>Implication:</w:t>
      </w:r>
      <w:r>
        <w:rPr>
          <w:rFonts w:ascii="Calibri" w:hAnsi="Calibri"/>
          <w:color w:val="525866"/>
          <w:sz w:val="22"/>
        </w:rPr>
        <w:t xml:space="preserve"> Reflects modest conservatism on near-term margin trajectory, not a fundamental view change.</w:t>
      </w:r>
    </w:p>
    <w:p>
      <w:pPr>
        <w:pStyle w:val="ListBullet"/>
        <w:ind w:left="360" w:hanging="360"/>
      </w:pPr>
      <w:r>
        <w:rPr>
          <w:rFonts w:ascii="Calibri" w:hAnsi="Calibri"/>
          <w:b/>
          <w:color w:val="525866"/>
          <w:sz w:val="22"/>
        </w:rPr>
        <w:t>June 17, 2026 — Zacks Downgrades MPC to Hold (from Strong Buy):</w:t>
      </w:r>
      <w:r>
        <w:rPr>
          <w:rFonts w:ascii="Calibri" w:hAnsi="Calibri"/>
          <w:color w:val="525866"/>
          <w:sz w:val="22"/>
        </w:rPr>
        <w:t xml:space="preserve"> Quantitative downgrade from Zacks. </w:t>
      </w:r>
      <w:r>
        <w:rPr>
          <w:rFonts w:ascii="Calibri" w:hAnsi="Calibri"/>
          <w:i/>
          <w:color w:val="525866"/>
          <w:sz w:val="22"/>
        </w:rPr>
        <w:t>Implication:</w:t>
      </w:r>
      <w:r>
        <w:rPr>
          <w:rFonts w:ascii="Calibri" w:hAnsi="Calibri"/>
          <w:color w:val="525866"/>
          <w:sz w:val="22"/>
        </w:rPr>
        <w:t xml:space="preserve"> Likely reflects the stock's sharp run-up rather than a fundamental deterioration; not a primary driver.</w:t>
      </w:r>
    </w:p>
    <w:p>
      <w:pPr>
        <w:pStyle w:val="ListBullet"/>
        <w:ind w:left="360" w:hanging="360"/>
      </w:pPr>
      <w:r>
        <w:rPr>
          <w:rFonts w:ascii="Calibri" w:hAnsi="Calibri"/>
          <w:b/>
          <w:color w:val="525866"/>
          <w:sz w:val="22"/>
        </w:rPr>
        <w:t>June 15, 2026 — Wells Fargo Reiterates Overweight, $344 Price Target:</w:t>
      </w:r>
      <w:r>
        <w:rPr>
          <w:rFonts w:ascii="Calibri" w:hAnsi="Calibri"/>
          <w:color w:val="525866"/>
          <w:sz w:val="22"/>
        </w:rPr>
        <w:t xml:space="preserve"> Highest price target on the Street; reflects conviction in MPC's structural advantages and capital return capacity. </w:t>
      </w:r>
      <w:r>
        <w:rPr>
          <w:rFonts w:ascii="Calibri" w:hAnsi="Calibri"/>
          <w:i/>
          <w:color w:val="525866"/>
          <w:sz w:val="22"/>
        </w:rPr>
        <w:t>Implication:</w:t>
      </w:r>
      <w:r>
        <w:rPr>
          <w:rFonts w:ascii="Calibri" w:hAnsi="Calibri"/>
          <w:color w:val="525866"/>
          <w:sz w:val="22"/>
        </w:rPr>
        <w:t xml:space="preserve"> Bullish anchor for the stock heading into earnings.</w:t>
      </w:r>
    </w:p>
    <w:p>
      <w:pPr>
        <w:pStyle w:val="ListBullet"/>
        <w:ind w:left="360" w:hanging="360"/>
      </w:pPr>
      <w:r>
        <w:rPr>
          <w:rFonts w:ascii="Calibri" w:hAnsi="Calibri"/>
          <w:b/>
          <w:color w:val="525866"/>
          <w:sz w:val="22"/>
        </w:rPr>
        <w:t>June 12, 2026 — Morgan Stanley Raises PT to $265 (from $233), Maintains Overweight:</w:t>
      </w:r>
      <w:r>
        <w:rPr>
          <w:rFonts w:ascii="Calibri" w:hAnsi="Calibri"/>
          <w:color w:val="525866"/>
          <w:sz w:val="22"/>
        </w:rPr>
        <w:t xml:space="preserve"> Meaningful PT increase reflecting the improved macro backdrop. </w:t>
      </w:r>
      <w:r>
        <w:rPr>
          <w:rFonts w:ascii="Calibri" w:hAnsi="Calibri"/>
          <w:i/>
          <w:color w:val="525866"/>
          <w:sz w:val="22"/>
        </w:rPr>
        <w:t>Implication:</w:t>
      </w:r>
      <w:r>
        <w:rPr>
          <w:rFonts w:ascii="Calibri" w:hAnsi="Calibri"/>
          <w:color w:val="525866"/>
          <w:sz w:val="22"/>
        </w:rPr>
        <w:t xml:space="preserve"> Sell-side broadly constructive; consensus PT of ~$272 implies modest upside from current levels.</w:t>
      </w:r>
    </w:p>
    <w:p>
      <w:pPr>
        <w:pStyle w:val="ListBullet"/>
        <w:ind w:left="360" w:hanging="360"/>
      </w:pPr>
      <w:r>
        <w:rPr>
          <w:rFonts w:ascii="Calibri" w:hAnsi="Calibri"/>
          <w:b/>
          <w:color w:val="525866"/>
          <w:sz w:val="22"/>
        </w:rPr>
        <w:t>July 30, 2026 — VLO &amp; PBF Report Blowout Q2 2026 Results (Key Peer Read-Through):</w:t>
      </w:r>
      <w:r>
        <w:rPr>
          <w:rFonts w:ascii="Calibri" w:hAnsi="Calibri"/>
          <w:color w:val="525866"/>
          <w:sz w:val="22"/>
        </w:rPr>
        <w:t xml:space="preserve"> VLO reported $4.5B refining operating income (vs. $1.3B in Q2 2025) and called Q3 margins stronger than Q2. PBF reported $6.22 adjusted EPS and $1.24B adjusted EBITDA, with Q3 expected to be stronger from a margin perspective. Both peers confirmed ~5M bpd of global refining capacity offline, global product inventories at multi-year lows, and a constructive outlook well into 2027. </w:t>
      </w:r>
      <w:r>
        <w:rPr>
          <w:rFonts w:ascii="Calibri" w:hAnsi="Calibri"/>
          <w:i/>
          <w:color w:val="525866"/>
          <w:sz w:val="22"/>
        </w:rPr>
        <w:t>Implication:</w:t>
      </w:r>
      <w:r>
        <w:rPr>
          <w:rFonts w:ascii="Calibri" w:hAnsi="Calibri"/>
          <w:color w:val="525866"/>
          <w:sz w:val="22"/>
        </w:rPr>
        <w:t xml:space="preserve"> Strongest possible read-through for MPC's Q2 print; confirms the margin environment and sets up a high bar that MPC's operational execution should clear.</w:t>
      </w:r>
    </w:p>
    <w:p>
      <w:r>
        <w:br w:type="page"/>
      </w:r>
    </w:p>
    <w:p>
      <w:pPr>
        <w:pStyle w:val="Heading2"/>
      </w:pPr>
      <w:r>
        <w:rPr>
          <w:rFonts w:ascii="Calibri" w:hAnsi="Calibri"/>
          <w:b/>
          <w:color w:val="3B4259"/>
          <w:sz w:val="28"/>
        </w:rPr>
        <w:t>7. Peer Commentaries — Q2 2026 Read-Through</w:t>
      </w:r>
    </w:p>
    <w:p>
      <w:r>
        <w:rPr>
          <w:rFonts w:ascii="Calibri" w:hAnsi="Calibri"/>
          <w:b/>
          <w:color w:val="525866"/>
          <w:sz w:val="22"/>
        </w:rPr>
        <w:t xml:space="preserve">Key Takeaway: </w:t>
      </w:r>
      <w:r>
        <w:rPr>
          <w:rFonts w:ascii="Calibri" w:hAnsi="Calibri"/>
          <w:b/>
          <w:color w:val="525866"/>
          <w:sz w:val="22"/>
        </w:rPr>
        <w:t xml:space="preserve">VLO and PBF both reported blowout Q2 2026 results on July 30 and called Q3 margins </w:t>
      </w:r>
      <w:r>
        <w:rPr>
          <w:rFonts w:ascii="Calibri" w:hAnsi="Calibri"/>
          <w:b/>
          <w:i/>
          <w:color w:val="525866"/>
          <w:sz w:val="22"/>
        </w:rPr>
        <w:t>stronger</w:t>
      </w:r>
      <w:r>
        <w:rPr>
          <w:rFonts w:ascii="Calibri" w:hAnsi="Calibri"/>
          <w:b/>
          <w:color w:val="525866"/>
          <w:sz w:val="22"/>
        </w:rPr>
        <w:t xml:space="preserve"> than Q2 — the most bullish possible read-through for MPC's print; the key themes (global capacity offline, product inventory drawdowns, crude sourcing advantages, West Coast structural tightness) map directly to MPC's competitive positioning.</w:t>
      </w:r>
    </w:p>
    <w:p>
      <w:pPr>
        <w:pStyle w:val="Heading3"/>
      </w:pPr>
      <w:r>
        <w:rPr>
          <w:rFonts w:ascii="Calibri" w:hAnsi="Calibri"/>
          <w:b/>
          <w:color w:val="3B4259"/>
          <w:sz w:val="24"/>
        </w:rPr>
        <w:t>Valero Energy (VLO) — Q2 2026 Earnings Call (July 30, 2026)</w:t>
      </w:r>
    </w:p>
    <w:p>
      <w:r>
        <w:rPr>
          <w:rFonts w:ascii="Calibri" w:hAnsi="Calibri"/>
          <w:b/>
          <w:color w:val="525866"/>
          <w:sz w:val="22"/>
        </w:rPr>
        <w:t>Refining Results &amp; Margin Environment:</w:t>
      </w:r>
    </w:p>
    <w:p>
      <w:pPr>
        <w:pStyle w:val="ListBullet"/>
        <w:ind w:left="360" w:hanging="360"/>
      </w:pPr>
      <w:r>
        <w:rPr>
          <w:rFonts w:ascii="Calibri" w:hAnsi="Calibri"/>
          <w:color w:val="525866"/>
          <w:sz w:val="22"/>
        </w:rPr>
        <w:t xml:space="preserve">VLO reported refining segment operating income of </w:t>
      </w:r>
      <w:r>
        <w:rPr>
          <w:rFonts w:ascii="Calibri" w:hAnsi="Calibri"/>
          <w:b/>
          <w:color w:val="525866"/>
          <w:sz w:val="22"/>
        </w:rPr>
        <w:t>$4.5 billion</w:t>
      </w:r>
      <w:r>
        <w:rPr>
          <w:rFonts w:ascii="Calibri" w:hAnsi="Calibri"/>
          <w:color w:val="525866"/>
          <w:sz w:val="22"/>
        </w:rPr>
        <w:t xml:space="preserve"> for Q2 2026, compared to $1.3 billion in Q2 2025 — a +246% YoY increase. Adjusted operating income was $4.4 billion. Refining throughput averaged 3 million barrels per day with cash operating expenses of $4.70/bbl.</w:t>
      </w:r>
    </w:p>
    <w:p>
      <w:pPr>
        <w:pStyle w:val="ListBullet"/>
        <w:ind w:left="360" w:hanging="360"/>
      </w:pPr>
      <w:r>
        <w:rPr>
          <w:rFonts w:ascii="Calibri" w:hAnsi="Calibri"/>
          <w:color w:val="525866"/>
          <w:sz w:val="22"/>
        </w:rPr>
        <w:t xml:space="preserve">VLO described refining fundamentals as supported by </w:t>
      </w:r>
      <w:r>
        <w:rPr>
          <w:rFonts w:ascii="Calibri" w:hAnsi="Calibri"/>
          <w:i/>
          <w:color w:val="525866"/>
          <w:sz w:val="22"/>
        </w:rPr>
        <w:t>"low global product inventories, limited excess refining capacity, and resilient demand for transportation fuels."</w:t>
      </w:r>
      <w:r>
        <w:rPr>
          <w:rFonts w:ascii="Calibri" w:hAnsi="Calibri"/>
          <w:color w:val="525866"/>
          <w:sz w:val="22"/>
        </w:rPr>
        <w:t xml:space="preserve"> Global total light product inventories are down ~150 million barrels from the start of the year and ~130 million barrels below normal for this time of year.</w:t>
      </w:r>
    </w:p>
    <w:p>
      <w:pPr>
        <w:pStyle w:val="ListBullet"/>
        <w:ind w:left="360" w:hanging="360"/>
      </w:pPr>
      <w:r>
        <w:rPr>
          <w:rFonts w:ascii="Calibri" w:hAnsi="Calibri"/>
          <w:color w:val="525866"/>
          <w:sz w:val="22"/>
        </w:rPr>
        <w:t xml:space="preserve">VLO holds a </w:t>
      </w:r>
      <w:r>
        <w:rPr>
          <w:rFonts w:ascii="Calibri" w:hAnsi="Calibri"/>
          <w:i/>
          <w:color w:val="525866"/>
          <w:sz w:val="22"/>
        </w:rPr>
        <w:t>"much more bullish view of a future midcycle"</w:t>
      </w:r>
      <w:r>
        <w:rPr>
          <w:rFonts w:ascii="Calibri" w:hAnsi="Calibri"/>
          <w:color w:val="525866"/>
          <w:sz w:val="22"/>
        </w:rPr>
        <w:t xml:space="preserve"> than historical calculations suggest, citing that product crack spreads are now being set by higher skimming margins in Northwest Europe due to tightened supply/demand balances — a structural shift that implies a higher floor for refinery cracks going forward.</w:t>
      </w:r>
    </w:p>
    <w:p>
      <w:pPr>
        <w:pStyle w:val="ListBullet"/>
        <w:ind w:left="360" w:hanging="360"/>
      </w:pPr>
      <w:r>
        <w:rPr>
          <w:rFonts w:ascii="Calibri" w:hAnsi="Calibri"/>
          <w:b/>
          <w:color w:val="525866"/>
          <w:sz w:val="22"/>
        </w:rPr>
        <w:t>MPC Read-Through:</w:t>
      </w:r>
      <w:r>
        <w:rPr>
          <w:rFonts w:ascii="Calibri" w:hAnsi="Calibri"/>
          <w:color w:val="525866"/>
          <w:sz w:val="22"/>
        </w:rPr>
        <w:t xml:space="preserve"> VLO's $4.5B refining operating income in Q2 is a direct confirmation that the margin environment MPC guided to (constructive macro backdrop, Gulf Coast and West Coast tailwinds) materialized in full. MPC's higher capture rate capability and inland crude sourcing advantage should translate to at least comparable, if not superior, margin capture.</w:t>
      </w:r>
    </w:p>
    <w:p>
      <w:r>
        <w:rPr>
          <w:rFonts w:ascii="Calibri" w:hAnsi="Calibri"/>
          <w:b/>
          <w:color w:val="525866"/>
          <w:sz w:val="22"/>
        </w:rPr>
        <w:t>Q3 2026 Outlook (Forward-Looking):</w:t>
      </w:r>
    </w:p>
    <w:p>
      <w:pPr>
        <w:pStyle w:val="ListBullet"/>
        <w:ind w:left="360" w:hanging="360"/>
      </w:pPr>
      <w:r>
        <w:rPr>
          <w:rFonts w:ascii="Calibri" w:hAnsi="Calibri"/>
          <w:color w:val="525866"/>
          <w:sz w:val="22"/>
        </w:rPr>
        <w:t xml:space="preserve">VLO stated that </w:t>
      </w:r>
      <w:r>
        <w:rPr>
          <w:rFonts w:ascii="Calibri" w:hAnsi="Calibri"/>
          <w:i/>
          <w:color w:val="525866"/>
          <w:sz w:val="22"/>
        </w:rPr>
        <w:t>"both margins and capture rates look constructive relative to the second quarter"</w:t>
      </w:r>
      <w:r>
        <w:rPr>
          <w:rFonts w:ascii="Calibri" w:hAnsi="Calibri"/>
          <w:color w:val="525866"/>
          <w:sz w:val="22"/>
        </w:rPr>
        <w:t xml:space="preserve"> for Q3 2026. The biggest tailwind is feedstocks, with the current market structure resulting in an improvement in delivered crude costs relative to benchmarks — a reversal from Q2 when many physical grades traded at significant premiums.</w:t>
      </w:r>
    </w:p>
    <w:p>
      <w:pPr>
        <w:pStyle w:val="ListBullet"/>
        <w:ind w:left="360" w:hanging="360"/>
      </w:pPr>
      <w:r>
        <w:rPr>
          <w:rFonts w:ascii="Calibri" w:hAnsi="Calibri"/>
          <w:color w:val="525866"/>
          <w:sz w:val="22"/>
        </w:rPr>
        <w:t>Naphtha is at a premium to Brent (vs. flat in Q2), propylene has strengthened, and sulfur remained strong. Jet fuel is expected to strengthen as the transition to winter-grade diesel specs occurs, with an open ARB to export jet to Europe.</w:t>
      </w:r>
    </w:p>
    <w:p>
      <w:pPr>
        <w:pStyle w:val="ListBullet"/>
        <w:ind w:left="360" w:hanging="360"/>
      </w:pPr>
      <w:r>
        <w:rPr>
          <w:rFonts w:ascii="Calibri" w:hAnsi="Calibri"/>
          <w:color w:val="525866"/>
          <w:sz w:val="22"/>
        </w:rPr>
        <w:t>VLO's consultant data suggests that even if the Middle East conflict ended today, global inventories would remain below the five-year average range through 2027, with gasoline recovering fastest, followed by diesel and then jet.</w:t>
      </w:r>
    </w:p>
    <w:p>
      <w:pPr>
        <w:pStyle w:val="ListBullet"/>
        <w:ind w:left="360" w:hanging="360"/>
      </w:pPr>
      <w:r>
        <w:rPr>
          <w:rFonts w:ascii="Calibri" w:hAnsi="Calibri"/>
          <w:b/>
          <w:color w:val="525866"/>
          <w:sz w:val="22"/>
        </w:rPr>
        <w:t>MPC Read-Through:</w:t>
      </w:r>
      <w:r>
        <w:rPr>
          <w:rFonts w:ascii="Calibri" w:hAnsi="Calibri"/>
          <w:color w:val="525866"/>
          <w:sz w:val="22"/>
        </w:rPr>
        <w:t xml:space="preserve"> VLO's Q3 outlook is directly bullish for MPC's Q3 2026 setup. The feedstock tailwind (crude at discounts to benchmarks in Q3 vs. premiums in Q2) is particularly relevant for MPC's crude sourcing strategy. The jet fuel strength read-through is also positive given MPC's focus on maximizing diesel and jet production.</w:t>
      </w:r>
    </w:p>
    <w:p>
      <w:r>
        <w:rPr>
          <w:rFonts w:ascii="Calibri" w:hAnsi="Calibri"/>
          <w:b/>
          <w:color w:val="525866"/>
          <w:sz w:val="22"/>
        </w:rPr>
        <w:t>Crude Differentials &amp; Regional Dynamics:</w:t>
      </w:r>
    </w:p>
    <w:p>
      <w:pPr>
        <w:pStyle w:val="ListBullet"/>
        <w:ind w:left="360" w:hanging="360"/>
      </w:pPr>
      <w:r>
        <w:rPr>
          <w:rFonts w:ascii="Calibri" w:hAnsi="Calibri"/>
          <w:color w:val="525866"/>
          <w:sz w:val="22"/>
        </w:rPr>
        <w:t xml:space="preserve">VLO highlighted the U.S. Gulf Coast as </w:t>
      </w:r>
      <w:r>
        <w:rPr>
          <w:rFonts w:ascii="Calibri" w:hAnsi="Calibri"/>
          <w:i/>
          <w:color w:val="525866"/>
          <w:sz w:val="22"/>
        </w:rPr>
        <w:t>"one of the most advantaged crude sourcing regions in the world,"</w:t>
      </w:r>
      <w:r>
        <w:rPr>
          <w:rFonts w:ascii="Calibri" w:hAnsi="Calibri"/>
          <w:color w:val="525866"/>
          <w:sz w:val="22"/>
        </w:rPr>
        <w:t xml:space="preserve"> with access to Canadian and Venezuelan crude. In June, Canadian crude prices rose due to weather/flooding, causing VLO to pivot to more Venezuelan crude, with processing rates expected to exceed historical maximums in coming months.</w:t>
      </w:r>
    </w:p>
    <w:p>
      <w:pPr>
        <w:pStyle w:val="ListBullet"/>
        <w:ind w:left="360" w:hanging="360"/>
      </w:pPr>
      <w:r>
        <w:rPr>
          <w:rFonts w:ascii="Calibri" w:hAnsi="Calibri"/>
          <w:color w:val="525866"/>
          <w:sz w:val="22"/>
        </w:rPr>
        <w:t>On the West Coast, VLO noted that refinery closures and increased California domestic crude production have left the market well supplied, with logistics bottlenecks causing California crude prices to weaken considerably. VLO's Wilmington refinery is increasing processing rates of these barrels and anticipates hitting record levels.</w:t>
      </w:r>
    </w:p>
    <w:p>
      <w:pPr>
        <w:pStyle w:val="ListBullet"/>
        <w:ind w:left="360" w:hanging="360"/>
      </w:pPr>
      <w:r>
        <w:rPr>
          <w:rFonts w:ascii="Calibri" w:hAnsi="Calibri"/>
          <w:color w:val="525866"/>
          <w:sz w:val="22"/>
        </w:rPr>
        <w:t xml:space="preserve">Approximately </w:t>
      </w:r>
      <w:r>
        <w:rPr>
          <w:rFonts w:ascii="Calibri" w:hAnsi="Calibri"/>
          <w:b/>
          <w:color w:val="525866"/>
          <w:sz w:val="22"/>
        </w:rPr>
        <w:t>5 million barrels per day</w:t>
      </w:r>
      <w:r>
        <w:rPr>
          <w:rFonts w:ascii="Calibri" w:hAnsi="Calibri"/>
          <w:color w:val="525866"/>
          <w:sz w:val="22"/>
        </w:rPr>
        <w:t xml:space="preserve"> of global refining capacity is estimated to be offline. Ukrainian drone attacks on Russian refining capacity are having a significant impact, with ~1.7–1.9 million bpd of Russian capacity offline and the trend worsening from May to July.</w:t>
      </w:r>
    </w:p>
    <w:p>
      <w:pPr>
        <w:pStyle w:val="ListBullet"/>
        <w:ind w:left="360" w:hanging="360"/>
      </w:pPr>
      <w:r>
        <w:rPr>
          <w:rFonts w:ascii="Calibri" w:hAnsi="Calibri"/>
          <w:b/>
          <w:color w:val="525866"/>
          <w:sz w:val="22"/>
        </w:rPr>
        <w:t>MPC Read-Through:</w:t>
      </w:r>
      <w:r>
        <w:rPr>
          <w:rFonts w:ascii="Calibri" w:hAnsi="Calibri"/>
          <w:color w:val="525866"/>
          <w:sz w:val="22"/>
        </w:rPr>
        <w:t xml:space="preserve"> VLO's West Coast commentary (weakening California crude prices, logistics bottlenecks) is directly positive for MPC's West Coast operations (Golden Eagle/Wilmington/Carson City/Anacortes). MPC's record Canadian volumes and SPR crude purchases in Q2 align with VLO's crude sourcing strategy.</w:t>
      </w:r>
    </w:p>
    <w:p>
      <w:r>
        <w:rPr>
          <w:rFonts w:ascii="Calibri" w:hAnsi="Calibri"/>
          <w:b/>
          <w:color w:val="525866"/>
          <w:sz w:val="22"/>
        </w:rPr>
        <w:t>Policy &amp; Jones Act:</w:t>
      </w:r>
    </w:p>
    <w:p>
      <w:pPr>
        <w:pStyle w:val="ListBullet"/>
        <w:ind w:left="360" w:hanging="360"/>
      </w:pPr>
      <w:r>
        <w:rPr>
          <w:rFonts w:ascii="Calibri" w:hAnsi="Calibri"/>
          <w:color w:val="525866"/>
          <w:sz w:val="22"/>
        </w:rPr>
        <w:t xml:space="preserve">VLO highlighted that the Jones Act waiver has been </w:t>
      </w:r>
      <w:r>
        <w:rPr>
          <w:rFonts w:ascii="Calibri" w:hAnsi="Calibri"/>
          <w:i/>
          <w:color w:val="525866"/>
          <w:sz w:val="22"/>
        </w:rPr>
        <w:t>"critical"</w:t>
      </w:r>
      <w:r>
        <w:rPr>
          <w:rFonts w:ascii="Calibri" w:hAnsi="Calibri"/>
          <w:color w:val="525866"/>
          <w:sz w:val="22"/>
        </w:rPr>
        <w:t xml:space="preserve"> in keeping Pad 1 (East Coast) and Pad 5 (West Coast) supplied, with VLO moving barrels from its Corpus Christi refinery to supply Pad 5 as Far East imports disappeared. This policy has maximized U.S. refining capacities from the Gulf.</w:t>
      </w:r>
    </w:p>
    <w:p>
      <w:pPr>
        <w:pStyle w:val="ListBullet"/>
        <w:ind w:left="360" w:hanging="360"/>
      </w:pPr>
      <w:r>
        <w:rPr>
          <w:rFonts w:ascii="Calibri" w:hAnsi="Calibri"/>
          <w:b/>
          <w:color w:val="525866"/>
          <w:sz w:val="22"/>
        </w:rPr>
        <w:t>MPC Read-Through:</w:t>
      </w:r>
      <w:r>
        <w:rPr>
          <w:rFonts w:ascii="Calibri" w:hAnsi="Calibri"/>
          <w:color w:val="525866"/>
          <w:sz w:val="22"/>
        </w:rPr>
        <w:t xml:space="preserve"> MPC's Gulf Coast and Mid-Continent refineries are well-positioned to benefit from the Jones Act waiver, which effectively creates a captive market for U.S. Gulf Coast refiners supplying the East and West Coasts.</w:t>
      </w:r>
    </w:p>
    <w:p>
      <w:pPr>
        <w:pStyle w:val="Heading3"/>
      </w:pPr>
      <w:r>
        <w:rPr>
          <w:rFonts w:ascii="Calibri" w:hAnsi="Calibri"/>
          <w:b/>
          <w:color w:val="3B4259"/>
          <w:sz w:val="24"/>
        </w:rPr>
        <w:t>PBF Energy (PBF) — Q2 2026 Earnings Call (July 30, 2026)</w:t>
      </w:r>
    </w:p>
    <w:p>
      <w:r>
        <w:rPr>
          <w:rFonts w:ascii="Calibri" w:hAnsi="Calibri"/>
          <w:b/>
          <w:color w:val="525866"/>
          <w:sz w:val="22"/>
        </w:rPr>
        <w:t>Refining Results &amp; Macro Environment:</w:t>
      </w:r>
    </w:p>
    <w:p>
      <w:pPr>
        <w:pStyle w:val="ListBullet"/>
        <w:ind w:left="360" w:hanging="360"/>
      </w:pPr>
      <w:r>
        <w:rPr>
          <w:rFonts w:ascii="Calibri" w:hAnsi="Calibri"/>
          <w:color w:val="525866"/>
          <w:sz w:val="22"/>
        </w:rPr>
        <w:t xml:space="preserve">PBF reported adjusted net income of </w:t>
      </w:r>
      <w:r>
        <w:rPr>
          <w:rFonts w:ascii="Calibri" w:hAnsi="Calibri"/>
          <w:b/>
          <w:color w:val="525866"/>
          <w:sz w:val="22"/>
        </w:rPr>
        <w:t>$6.22 per share</w:t>
      </w:r>
      <w:r>
        <w:rPr>
          <w:rFonts w:ascii="Calibri" w:hAnsi="Calibri"/>
          <w:color w:val="525866"/>
          <w:sz w:val="22"/>
        </w:rPr>
        <w:t xml:space="preserve"> and adjusted EBITDA of $1.24 billion for Q2 2026. PBF reduced net debt by over $1.4 billion, ending the quarter with just under $900 million in cash and expecting to end July with ~$1.5 billion.</w:t>
      </w:r>
    </w:p>
    <w:p>
      <w:pPr>
        <w:pStyle w:val="ListBullet"/>
        <w:ind w:left="360" w:hanging="360"/>
      </w:pPr>
      <w:r>
        <w:rPr>
          <w:rFonts w:ascii="Calibri" w:hAnsi="Calibri"/>
          <w:color w:val="525866"/>
          <w:sz w:val="22"/>
        </w:rPr>
        <w:t xml:space="preserve">PBF described the current environment as </w:t>
      </w:r>
      <w:r>
        <w:rPr>
          <w:rFonts w:ascii="Calibri" w:hAnsi="Calibri"/>
          <w:i/>
          <w:color w:val="525866"/>
          <w:sz w:val="22"/>
        </w:rPr>
        <w:t>"one of, if not the largest, dislocation the oil markets have ever seen,"</w:t>
      </w:r>
      <w:r>
        <w:rPr>
          <w:rFonts w:ascii="Calibri" w:hAnsi="Calibri"/>
          <w:color w:val="525866"/>
          <w:sz w:val="22"/>
        </w:rPr>
        <w:t xml:space="preserve"> with the Middle East and Eastern Europe disruptions initially trapping ~15 million bpd of crude and ~5 million bpd of products inside the Strait. Global refining utilization is down roughly 10% year-on-year, and product inventories have been drawn down across the globe.</w:t>
      </w:r>
    </w:p>
    <w:p>
      <w:pPr>
        <w:pStyle w:val="ListBullet"/>
        <w:ind w:left="360" w:hanging="360"/>
      </w:pPr>
      <w:r>
        <w:rPr>
          <w:rFonts w:ascii="Calibri" w:hAnsi="Calibri"/>
          <w:color w:val="525866"/>
          <w:sz w:val="22"/>
        </w:rPr>
        <w:t xml:space="preserve">PBF stated that </w:t>
      </w:r>
      <w:r>
        <w:rPr>
          <w:rFonts w:ascii="Calibri" w:hAnsi="Calibri"/>
          <w:i/>
          <w:color w:val="525866"/>
          <w:sz w:val="22"/>
        </w:rPr>
        <w:t>"U.S. refining is critical infrastructure and has rarely been more evident than it is today,"</w:t>
      </w:r>
      <w:r>
        <w:rPr>
          <w:rFonts w:ascii="Calibri" w:hAnsi="Calibri"/>
          <w:color w:val="525866"/>
          <w:sz w:val="22"/>
        </w:rPr>
        <w:t xml:space="preserve"> with over 5 million barrels of refining capacity globally offline, some suffering physical damage that could take significant time to repair.</w:t>
      </w:r>
    </w:p>
    <w:p>
      <w:pPr>
        <w:pStyle w:val="ListBullet"/>
        <w:ind w:left="360" w:hanging="360"/>
      </w:pPr>
      <w:r>
        <w:rPr>
          <w:rFonts w:ascii="Calibri" w:hAnsi="Calibri"/>
          <w:b/>
          <w:color w:val="525866"/>
          <w:sz w:val="22"/>
        </w:rPr>
        <w:t>MPC Read-Through:</w:t>
      </w:r>
      <w:r>
        <w:rPr>
          <w:rFonts w:ascii="Calibri" w:hAnsi="Calibri"/>
          <w:color w:val="525866"/>
          <w:sz w:val="22"/>
        </w:rPr>
        <w:t xml:space="preserve"> PBF's characterization of the macro environment as the largest oil market dislocation ever seen is the strongest possible confirmation of the tailwind MPC has been exploiting. MPC's operational outperformance (near-100% capture, decade-low unplanned downtime) positions it to capture more of this dislocation than peers.</w:t>
      </w:r>
    </w:p>
    <w:p>
      <w:r>
        <w:rPr>
          <w:rFonts w:ascii="Calibri" w:hAnsi="Calibri"/>
          <w:b/>
          <w:color w:val="525866"/>
          <w:sz w:val="22"/>
        </w:rPr>
        <w:t>Q3 2026 Outlook &amp; Forward Guidance:</w:t>
      </w:r>
    </w:p>
    <w:p>
      <w:pPr>
        <w:pStyle w:val="ListBullet"/>
        <w:ind w:left="360" w:hanging="360"/>
      </w:pPr>
      <w:r>
        <w:rPr>
          <w:rFonts w:ascii="Calibri" w:hAnsi="Calibri"/>
          <w:color w:val="525866"/>
          <w:sz w:val="22"/>
        </w:rPr>
        <w:t xml:space="preserve">PBF stated that </w:t>
      </w:r>
      <w:r>
        <w:rPr>
          <w:rFonts w:ascii="Calibri" w:hAnsi="Calibri"/>
          <w:i/>
          <w:color w:val="525866"/>
          <w:sz w:val="22"/>
        </w:rPr>
        <w:t>"the third quarter is stronger from a margin perspective than the second quarter,"</w:t>
      </w:r>
      <w:r>
        <w:rPr>
          <w:rFonts w:ascii="Calibri" w:hAnsi="Calibri"/>
          <w:color w:val="525866"/>
          <w:sz w:val="22"/>
        </w:rPr>
        <w:t xml:space="preserve"> with product inventories expected to be slow to rebuild and the restocking process providing a favorable backdrop for refining margins over the quarters to come.</w:t>
      </w:r>
    </w:p>
    <w:p>
      <w:pPr>
        <w:pStyle w:val="ListBullet"/>
        <w:ind w:left="360" w:hanging="360"/>
      </w:pPr>
      <w:r>
        <w:rPr>
          <w:rFonts w:ascii="Calibri" w:hAnsi="Calibri"/>
          <w:color w:val="525866"/>
          <w:sz w:val="22"/>
        </w:rPr>
        <w:t xml:space="preserve">PBF expects that when the conflict ends, it will take an extended time for product inventories to normalize, maintaining elevated margins — </w:t>
      </w:r>
      <w:r>
        <w:rPr>
          <w:rFonts w:ascii="Calibri" w:hAnsi="Calibri"/>
          <w:i/>
          <w:color w:val="525866"/>
          <w:sz w:val="22"/>
        </w:rPr>
        <w:t>"certainly you're well into 2027"</w:t>
      </w:r>
      <w:r>
        <w:rPr>
          <w:rFonts w:ascii="Calibri" w:hAnsi="Calibri"/>
          <w:color w:val="525866"/>
          <w:sz w:val="22"/>
        </w:rPr>
        <w:t xml:space="preserve"> before inventories can normalize under normal economic conditions.</w:t>
      </w:r>
    </w:p>
    <w:p>
      <w:pPr>
        <w:pStyle w:val="ListBullet"/>
        <w:ind w:left="360" w:hanging="360"/>
      </w:pPr>
      <w:r>
        <w:rPr>
          <w:rFonts w:ascii="Calibri" w:hAnsi="Calibri"/>
          <w:color w:val="525866"/>
          <w:sz w:val="22"/>
        </w:rPr>
        <w:t>Crude is expected to normalize much quicker than products, as dislocated crude will need to compete for market share, resulting in a favorable crude environment for refiners.</w:t>
      </w:r>
    </w:p>
    <w:p>
      <w:pPr>
        <w:pStyle w:val="ListBullet"/>
        <w:ind w:left="360" w:hanging="360"/>
      </w:pPr>
      <w:r>
        <w:rPr>
          <w:rFonts w:ascii="Calibri" w:hAnsi="Calibri"/>
          <w:b/>
          <w:color w:val="525866"/>
          <w:sz w:val="22"/>
        </w:rPr>
        <w:t>MPC Read-Through:</w:t>
      </w:r>
      <w:r>
        <w:rPr>
          <w:rFonts w:ascii="Calibri" w:hAnsi="Calibri"/>
          <w:color w:val="525866"/>
          <w:sz w:val="22"/>
        </w:rPr>
        <w:t xml:space="preserve"> PBF's Q3 outlook (stronger margins than Q2, elevated margins well into 2027) is directly bullish for MPC's Q3 2026 setup and FY2026/FY2027 consensus estimates. The favorable crude environment thesis aligns with MPC's crude sourcing strategy.</w:t>
      </w:r>
    </w:p>
    <w:p>
      <w:r>
        <w:rPr>
          <w:rFonts w:ascii="Calibri" w:hAnsi="Calibri"/>
          <w:b/>
          <w:color w:val="525866"/>
          <w:sz w:val="22"/>
        </w:rPr>
        <w:t>West Coast Dynamics:</w:t>
      </w:r>
    </w:p>
    <w:p>
      <w:pPr>
        <w:pStyle w:val="ListBullet"/>
        <w:ind w:left="360" w:hanging="360"/>
      </w:pPr>
      <w:r>
        <w:rPr>
          <w:rFonts w:ascii="Calibri" w:hAnsi="Calibri"/>
          <w:color w:val="525866"/>
          <w:sz w:val="22"/>
        </w:rPr>
        <w:t xml:space="preserve">PBF highlighted that the West Coast and East Coast are </w:t>
      </w:r>
      <w:r>
        <w:rPr>
          <w:rFonts w:ascii="Calibri" w:hAnsi="Calibri"/>
          <w:i/>
          <w:color w:val="525866"/>
          <w:sz w:val="22"/>
        </w:rPr>
        <w:t>"structurally short refining capacity and depend on imports,"</w:t>
      </w:r>
      <w:r>
        <w:rPr>
          <w:rFonts w:ascii="Calibri" w:hAnsi="Calibri"/>
          <w:color w:val="525866"/>
          <w:sz w:val="22"/>
        </w:rPr>
        <w:t xml:space="preserve"> with California alone importing ~250,000 bpd of gasoline (close to a third of its demand). These markets are finding it harder to pull the imports they have historically relied on.</w:t>
      </w:r>
    </w:p>
    <w:p>
      <w:pPr>
        <w:pStyle w:val="ListBullet"/>
        <w:ind w:left="360" w:hanging="360"/>
      </w:pPr>
      <w:r>
        <w:rPr>
          <w:rFonts w:ascii="Calibri" w:hAnsi="Calibri"/>
          <w:color w:val="525866"/>
          <w:sz w:val="22"/>
        </w:rPr>
        <w:t xml:space="preserve">PBF is increasing domestic California crude runs by 25–30,000 bpd, with volumes on its M70 pipeline increasing from ~60,000 bpd to ~90,000 bpd. West Coast margins were </w:t>
      </w:r>
      <w:r>
        <w:rPr>
          <w:rFonts w:ascii="Calibri" w:hAnsi="Calibri"/>
          <w:i/>
          <w:color w:val="525866"/>
          <w:sz w:val="22"/>
        </w:rPr>
        <w:t>"particularly strong this quarter."</w:t>
      </w:r>
    </w:p>
    <w:p>
      <w:pPr>
        <w:pStyle w:val="ListBullet"/>
        <w:ind w:left="360" w:hanging="360"/>
      </w:pPr>
      <w:r>
        <w:rPr>
          <w:rFonts w:ascii="Calibri" w:hAnsi="Calibri"/>
          <w:color w:val="525866"/>
          <w:sz w:val="22"/>
        </w:rPr>
        <w:t>In July, PBF reached an agreement to repurchase two hydrogen plants servicing its Torrance refinery from Air Products to improve overall reliability.</w:t>
      </w:r>
    </w:p>
    <w:p>
      <w:pPr>
        <w:pStyle w:val="ListBullet"/>
        <w:ind w:left="360" w:hanging="360"/>
      </w:pPr>
      <w:r>
        <w:rPr>
          <w:rFonts w:ascii="Calibri" w:hAnsi="Calibri"/>
          <w:b/>
          <w:color w:val="525866"/>
          <w:sz w:val="22"/>
        </w:rPr>
        <w:t>MPC Read-Through:</w:t>
      </w:r>
      <w:r>
        <w:rPr>
          <w:rFonts w:ascii="Calibri" w:hAnsi="Calibri"/>
          <w:color w:val="525866"/>
          <w:sz w:val="22"/>
        </w:rPr>
        <w:t xml:space="preserve"> PBF's West Coast commentary directly confirms the structural tightness that MPC's West Coast refineries (Golden Eagle/Wilmington/Carson City/Anacortes/Kenai) are benefiting from. MPC's ability to take Bakken crude to the Pacific Northwest (backing out higher-cost waterborne barrels) is a direct competitive advantage in this environment.</w:t>
      </w:r>
    </w:p>
    <w:p>
      <w:r>
        <w:rPr>
          <w:rFonts w:ascii="Calibri" w:hAnsi="Calibri"/>
          <w:b/>
          <w:color w:val="525866"/>
          <w:sz w:val="22"/>
        </w:rPr>
        <w:t>Turnaround Optimization:</w:t>
      </w:r>
    </w:p>
    <w:p>
      <w:pPr>
        <w:pStyle w:val="ListBullet"/>
        <w:ind w:left="360" w:hanging="360"/>
      </w:pPr>
      <w:r>
        <w:rPr>
          <w:rFonts w:ascii="Calibri" w:hAnsi="Calibri"/>
          <w:color w:val="525866"/>
          <w:sz w:val="22"/>
        </w:rPr>
        <w:t>PBF pushed its Q4 Toledo FCC turnaround to H1 2027 and shifted the Chalmette Q4 crude unit/Coker turnaround to 2027, reducing 2026 CapEx guidance by ~$75 million to $850 million at the midpoint. This reflects the industry-wide trend of deferring maintenance to maximize throughput in the current high-margin environment.</w:t>
      </w:r>
    </w:p>
    <w:p>
      <w:pPr>
        <w:pStyle w:val="ListBullet"/>
        <w:ind w:left="360" w:hanging="360"/>
      </w:pPr>
      <w:r>
        <w:rPr>
          <w:rFonts w:ascii="Calibri" w:hAnsi="Calibri"/>
          <w:b/>
          <w:color w:val="525866"/>
          <w:sz w:val="22"/>
        </w:rPr>
        <w:t>MPC Read-Through:</w:t>
      </w:r>
      <w:r>
        <w:rPr>
          <w:rFonts w:ascii="Calibri" w:hAnsi="Calibri"/>
          <w:color w:val="525866"/>
          <w:sz w:val="22"/>
        </w:rPr>
        <w:t xml:space="preserve"> MPC's decision to pull forward ~40% of full-year turnarounds into Q1 2026 (enabling 94% guided utilization in Q2) is the mirror image of PBF's strategy — both approaches are designed to maximize throughput during the high-margin window. MPC's front-loading of turnarounds is a structural advantage for Q2 and Q3.</w:t>
      </w:r>
    </w:p>
    <w:p>
      <w:pPr>
        <w:pStyle w:val="Heading3"/>
      </w:pPr>
      <w:r>
        <w:rPr>
          <w:rFonts w:ascii="Calibri" w:hAnsi="Calibri"/>
          <w:b/>
          <w:color w:val="3B4259"/>
          <w:sz w:val="24"/>
        </w:rPr>
        <w:t>Summary Read-Through Table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VLO Signal</w:t>
            </w:r>
          </w:p>
        </w:tc>
        <w:tc>
          <w:tcPr>
            <w:tcW w:type="dxa" w:w="2160"/>
            <w:shd w:val="clear" w:color="auto" w:fill="3B4259"/>
          </w:tcPr>
          <w:p>
            <w:r>
              <w:rPr>
                <w:rFonts w:ascii="Calibri" w:hAnsi="Calibri"/>
                <w:b/>
                <w:color w:val="FFFFFF"/>
                <w:sz w:val="22"/>
              </w:rPr>
              <w:t>PBF Signal</w:t>
            </w:r>
          </w:p>
        </w:tc>
        <w:tc>
          <w:tcPr>
            <w:tcW w:type="dxa" w:w="2160"/>
            <w:shd w:val="clear" w:color="auto" w:fill="3B4259"/>
          </w:tcPr>
          <w:p>
            <w:r>
              <w:rPr>
                <w:rFonts w:ascii="Calibri" w:hAnsi="Calibri"/>
                <w:b/>
                <w:color w:val="FFFFFF"/>
                <w:sz w:val="22"/>
              </w:rPr>
              <w:t>MPC Read-Through</w:t>
            </w:r>
          </w:p>
        </w:tc>
      </w:tr>
      <w:tr>
        <w:tc>
          <w:tcPr>
            <w:tcW w:type="dxa" w:w="2160"/>
          </w:tcPr>
          <w:p>
            <w:r>
              <w:rPr>
                <w:rFonts w:ascii="Calibri" w:hAnsi="Calibri"/>
                <w:sz w:val="22"/>
              </w:rPr>
              <w:t>Q2 2026 Margin Environment</w:t>
            </w:r>
          </w:p>
        </w:tc>
        <w:tc>
          <w:tcPr>
            <w:tcW w:type="dxa" w:w="2160"/>
          </w:tcPr>
          <w:p>
            <w:r>
              <w:rPr>
                <w:rFonts w:ascii="Calibri" w:hAnsi="Calibri"/>
                <w:b/>
                <w:color w:val="30A46C"/>
                <w:sz w:val="22"/>
              </w:rPr>
              <w:t>$4.5B refining op. income; +246% YoY</w:t>
            </w:r>
          </w:p>
        </w:tc>
        <w:tc>
          <w:tcPr>
            <w:tcW w:type="dxa" w:w="2160"/>
          </w:tcPr>
          <w:p>
            <w:r>
              <w:rPr>
                <w:rFonts w:ascii="Calibri" w:hAnsi="Calibri"/>
                <w:b/>
                <w:color w:val="30A46C"/>
                <w:sz w:val="22"/>
              </w:rPr>
              <w:t>$6.22 adj. EPS; $1.24B adj. EBITDA</w:t>
            </w:r>
          </w:p>
        </w:tc>
        <w:tc>
          <w:tcPr>
            <w:tcW w:type="dxa" w:w="2160"/>
          </w:tcPr>
          <w:p>
            <w:r>
              <w:rPr>
                <w:rFonts w:ascii="Calibri" w:hAnsi="Calibri"/>
                <w:b/>
                <w:color w:val="30A46C"/>
                <w:sz w:val="22"/>
              </w:rPr>
              <w:t>Strongly positive; confirms MPC's guided constructive macro backdrop materialized</w:t>
            </w:r>
          </w:p>
        </w:tc>
      </w:tr>
      <w:tr>
        <w:tc>
          <w:tcPr>
            <w:tcW w:type="dxa" w:w="2160"/>
          </w:tcPr>
          <w:p>
            <w:r>
              <w:rPr>
                <w:rFonts w:ascii="Calibri" w:hAnsi="Calibri"/>
                <w:sz w:val="22"/>
              </w:rPr>
              <w:t>Q3 2026 Outlook</w:t>
            </w:r>
          </w:p>
        </w:tc>
        <w:tc>
          <w:tcPr>
            <w:tcW w:type="dxa" w:w="2160"/>
          </w:tcPr>
          <w:p>
            <w:r>
              <w:rPr>
                <w:rFonts w:ascii="Calibri" w:hAnsi="Calibri"/>
                <w:b/>
                <w:color w:val="30A46C"/>
                <w:sz w:val="22"/>
              </w:rPr>
              <w:t>Margins &amp; capture rates constructive vs. Q2; feedstock tailwind</w:t>
            </w:r>
          </w:p>
        </w:tc>
        <w:tc>
          <w:tcPr>
            <w:tcW w:type="dxa" w:w="2160"/>
          </w:tcPr>
          <w:p>
            <w:r>
              <w:rPr>
                <w:rFonts w:ascii="Calibri" w:hAnsi="Calibri"/>
                <w:b/>
                <w:color w:val="30A46C"/>
                <w:sz w:val="22"/>
              </w:rPr>
              <w:t>Q3 stronger from margin perspective than Q2</w:t>
            </w:r>
          </w:p>
        </w:tc>
        <w:tc>
          <w:tcPr>
            <w:tcW w:type="dxa" w:w="2160"/>
          </w:tcPr>
          <w:p>
            <w:r>
              <w:rPr>
                <w:rFonts w:ascii="Calibri" w:hAnsi="Calibri"/>
                <w:b/>
                <w:color w:val="30A46C"/>
                <w:sz w:val="22"/>
              </w:rPr>
              <w:t>Bullish for MPC's Q3 setup; supports elevated FY2026/FY2027 consensus</w:t>
            </w:r>
          </w:p>
        </w:tc>
      </w:tr>
      <w:tr>
        <w:tc>
          <w:tcPr>
            <w:tcW w:type="dxa" w:w="2160"/>
          </w:tcPr>
          <w:p>
            <w:r>
              <w:rPr>
                <w:rFonts w:ascii="Calibri" w:hAnsi="Calibri"/>
                <w:sz w:val="22"/>
              </w:rPr>
              <w:t>Global Capacity Offline</w:t>
            </w:r>
          </w:p>
        </w:tc>
        <w:tc>
          <w:tcPr>
            <w:tcW w:type="dxa" w:w="2160"/>
          </w:tcPr>
          <w:p>
            <w:r>
              <w:rPr>
                <w:rFonts w:ascii="Calibri" w:hAnsi="Calibri"/>
                <w:sz w:val="22"/>
              </w:rPr>
              <w:t>~5M bpd offline; inventories 130M bbl below normal</w:t>
            </w:r>
          </w:p>
        </w:tc>
        <w:tc>
          <w:tcPr>
            <w:tcW w:type="dxa" w:w="2160"/>
          </w:tcPr>
          <w:p>
            <w:r>
              <w:rPr>
                <w:rFonts w:ascii="Calibri" w:hAnsi="Calibri"/>
                <w:sz w:val="22"/>
              </w:rPr>
              <w:t>&gt;5M bpd offline; global utilization down ~10% YoY</w:t>
            </w:r>
          </w:p>
        </w:tc>
        <w:tc>
          <w:tcPr>
            <w:tcW w:type="dxa" w:w="2160"/>
          </w:tcPr>
          <w:p>
            <w:r>
              <w:rPr>
                <w:rFonts w:ascii="Calibri" w:hAnsi="Calibri"/>
                <w:sz w:val="22"/>
              </w:rPr>
              <w:t>Structural tailwind; MPC insulated via U.S./Canadian crude sourcing</w:t>
            </w:r>
          </w:p>
        </w:tc>
      </w:tr>
      <w:tr>
        <w:tc>
          <w:tcPr>
            <w:tcW w:type="dxa" w:w="2160"/>
          </w:tcPr>
          <w:p>
            <w:r>
              <w:rPr>
                <w:rFonts w:ascii="Calibri" w:hAnsi="Calibri"/>
                <w:sz w:val="22"/>
              </w:rPr>
              <w:t>Inventory Normalization Timeline</w:t>
            </w:r>
          </w:p>
        </w:tc>
        <w:tc>
          <w:tcPr>
            <w:tcW w:type="dxa" w:w="2160"/>
          </w:tcPr>
          <w:p>
            <w:r>
              <w:rPr>
                <w:rFonts w:ascii="Calibri" w:hAnsi="Calibri"/>
                <w:sz w:val="22"/>
              </w:rPr>
              <w:t>Below 5-yr avg through 2027 even if conflict ends today</w:t>
            </w:r>
          </w:p>
        </w:tc>
        <w:tc>
          <w:tcPr>
            <w:tcW w:type="dxa" w:w="2160"/>
          </w:tcPr>
          <w:p>
            <w:r>
              <w:rPr>
                <w:rFonts w:ascii="Calibri" w:hAnsi="Calibri"/>
                <w:sz w:val="22"/>
              </w:rPr>
              <w:t>Well into 2027 before normalization possible</w:t>
            </w:r>
          </w:p>
        </w:tc>
        <w:tc>
          <w:tcPr>
            <w:tcW w:type="dxa" w:w="2160"/>
          </w:tcPr>
          <w:p>
            <w:r>
              <w:rPr>
                <w:rFonts w:ascii="Calibri" w:hAnsi="Calibri"/>
                <w:sz w:val="22"/>
              </w:rPr>
              <w:t>Elevated margins expected to persist; supports MPC's FY2027 consensus of $29.28 EPS</w:t>
            </w:r>
          </w:p>
        </w:tc>
      </w:tr>
      <w:tr>
        <w:tc>
          <w:tcPr>
            <w:tcW w:type="dxa" w:w="2160"/>
          </w:tcPr>
          <w:p>
            <w:r>
              <w:rPr>
                <w:rFonts w:ascii="Calibri" w:hAnsi="Calibri"/>
                <w:sz w:val="22"/>
              </w:rPr>
              <w:t>West Coast Dynamics</w:t>
            </w:r>
          </w:p>
        </w:tc>
        <w:tc>
          <w:tcPr>
            <w:tcW w:type="dxa" w:w="2160"/>
          </w:tcPr>
          <w:p>
            <w:r>
              <w:rPr>
                <w:rFonts w:ascii="Calibri" w:hAnsi="Calibri"/>
                <w:sz w:val="22"/>
              </w:rPr>
              <w:t>California crude prices weakening; Wilmington hitting record processing rates</w:t>
            </w:r>
          </w:p>
        </w:tc>
        <w:tc>
          <w:tcPr>
            <w:tcW w:type="dxa" w:w="2160"/>
          </w:tcPr>
          <w:p>
            <w:r>
              <w:rPr>
                <w:rFonts w:ascii="Calibri" w:hAnsi="Calibri"/>
                <w:sz w:val="22"/>
              </w:rPr>
              <w:t>West Coast margins particularly strong; structural import shortfall</w:t>
            </w:r>
          </w:p>
        </w:tc>
        <w:tc>
          <w:tcPr>
            <w:tcW w:type="dxa" w:w="2160"/>
          </w:tcPr>
          <w:p>
            <w:r>
              <w:rPr>
                <w:rFonts w:ascii="Calibri" w:hAnsi="Calibri"/>
                <w:sz w:val="22"/>
              </w:rPr>
              <w:t>Directly positive for MPC's West Coast refineries; Bakken-to-Pacific-NW strategy advantaged</w:t>
            </w:r>
          </w:p>
        </w:tc>
      </w:tr>
      <w:tr>
        <w:tc>
          <w:tcPr>
            <w:tcW w:type="dxa" w:w="2160"/>
          </w:tcPr>
          <w:p>
            <w:r>
              <w:rPr>
                <w:rFonts w:ascii="Calibri" w:hAnsi="Calibri"/>
                <w:sz w:val="22"/>
              </w:rPr>
              <w:t>Crude Sourcing</w:t>
            </w:r>
          </w:p>
        </w:tc>
        <w:tc>
          <w:tcPr>
            <w:tcW w:type="dxa" w:w="2160"/>
          </w:tcPr>
          <w:p>
            <w:r>
              <w:rPr>
                <w:rFonts w:ascii="Calibri" w:hAnsi="Calibri"/>
                <w:sz w:val="22"/>
              </w:rPr>
              <w:t>Gulf Coast most advantaged globally; Canadian/Venezuelan access</w:t>
            </w:r>
          </w:p>
        </w:tc>
        <w:tc>
          <w:tcPr>
            <w:tcW w:type="dxa" w:w="2160"/>
          </w:tcPr>
          <w:p>
            <w:r>
              <w:rPr>
                <w:rFonts w:ascii="Calibri" w:hAnsi="Calibri"/>
                <w:sz w:val="22"/>
              </w:rPr>
              <w:t>Crude to normalize faster than products; favorable crude environment ahead</w:t>
            </w:r>
          </w:p>
        </w:tc>
        <w:tc>
          <w:tcPr>
            <w:tcW w:type="dxa" w:w="2160"/>
          </w:tcPr>
          <w:p>
            <w:r>
              <w:rPr>
                <w:rFonts w:ascii="Calibri" w:hAnsi="Calibri"/>
                <w:sz w:val="22"/>
              </w:rPr>
              <w:t>MPC's record Canadian volumes and SPR crude purchases in Q2 are a direct competitive advantage</w:t>
            </w:r>
          </w:p>
        </w:tc>
      </w:tr>
      <w:tr>
        <w:tc>
          <w:tcPr>
            <w:tcW w:type="dxa" w:w="2160"/>
          </w:tcPr>
          <w:p>
            <w:r>
              <w:rPr>
                <w:rFonts w:ascii="Calibri" w:hAnsi="Calibri"/>
                <w:sz w:val="22"/>
              </w:rPr>
              <w:t>Jones Act Waiver</w:t>
            </w:r>
          </w:p>
        </w:tc>
        <w:tc>
          <w:tcPr>
            <w:tcW w:type="dxa" w:w="2160"/>
          </w:tcPr>
          <w:p>
            <w:r>
              <w:rPr>
                <w:rFonts w:ascii="Calibri" w:hAnsi="Calibri"/>
                <w:sz w:val="22"/>
              </w:rPr>
              <w:t>Critical for Pad 1 and Pad 5 supply; maximizes Gulf Coast refining capacity</w:t>
            </w:r>
          </w:p>
        </w:tc>
        <w:tc>
          <w:tcPr>
            <w:tcW w:type="dxa" w:w="2160"/>
          </w:tcPr>
          <w:p>
            <w:r>
              <w:rPr>
                <w:rFonts w:ascii="Calibri" w:hAnsi="Calibri"/>
                <w:sz w:val="22"/>
              </w:rPr>
              <w:t>Temporary waivers helping; expected to continue during conflict</w:t>
            </w:r>
          </w:p>
        </w:tc>
        <w:tc>
          <w:tcPr>
            <w:tcW w:type="dxa" w:w="2160"/>
          </w:tcPr>
          <w:p>
            <w:r>
              <w:rPr>
                <w:rFonts w:ascii="Calibri" w:hAnsi="Calibri"/>
                <w:sz w:val="22"/>
              </w:rPr>
              <w:t>Positive for MPC's Gulf Coast export optionality and Mid-Continent connectivity</w:t>
            </w:r>
          </w:p>
        </w:tc>
      </w:tr>
    </w:tbl>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b/>
          <w:color w:val="525866"/>
          <w:sz w:val="22"/>
        </w:rPr>
        <w:t>Insider activity since the Q1 earnings date is limited and routine — one small discretionary sale by the Chief Commercial Officer and an option exercise/sale by the EVP of Refining; no clustered buying or unusual sale sizes that would signal a directional view ahead of the print.</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 / Value</w:t>
            </w:r>
          </w:p>
        </w:tc>
        <w:tc>
          <w:tcPr>
            <w:tcW w:type="dxa" w:w="1440"/>
            <w:shd w:val="clear" w:color="auto" w:fill="3B4259"/>
          </w:tcPr>
          <w:p>
            <w:r>
              <w:rPr>
                <w:rFonts w:ascii="Calibri" w:hAnsi="Calibri"/>
                <w:b/>
                <w:color w:val="FFFFFF"/>
                <w:sz w:val="22"/>
              </w:rPr>
              <w:t>Transaction 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Hessling, Ricky D.</w:t>
            </w:r>
          </w:p>
        </w:tc>
        <w:tc>
          <w:tcPr>
            <w:tcW w:type="dxa" w:w="1440"/>
          </w:tcPr>
          <w:p>
            <w:r>
              <w:rPr>
                <w:rFonts w:ascii="Calibri" w:hAnsi="Calibri"/>
                <w:sz w:val="22"/>
              </w:rPr>
              <w:t>Chief Commercial Officer</w:t>
            </w:r>
          </w:p>
        </w:tc>
        <w:tc>
          <w:tcPr>
            <w:tcW w:type="dxa" w:w="1440"/>
          </w:tcPr>
          <w:p>
            <w:r>
              <w:rPr>
                <w:rFonts w:ascii="Calibri" w:hAnsi="Calibri"/>
                <w:sz w:val="22"/>
              </w:rPr>
              <w:t>Open Market Sale</w:t>
            </w:r>
          </w:p>
        </w:tc>
        <w:tc>
          <w:tcPr>
            <w:tcW w:type="dxa" w:w="1440"/>
          </w:tcPr>
          <w:p>
            <w:r>
              <w:rPr>
                <w:rFonts w:ascii="Calibri" w:hAnsi="Calibri"/>
                <w:sz w:val="22"/>
              </w:rPr>
              <w:t>1,000 shares</w:t>
            </w:r>
          </w:p>
        </w:tc>
        <w:tc>
          <w:tcPr>
            <w:tcW w:type="dxa" w:w="1440"/>
          </w:tcPr>
          <w:p>
            <w:r>
              <w:rPr>
                <w:rFonts w:ascii="Calibri" w:hAnsi="Calibri"/>
                <w:sz w:val="22"/>
              </w:rPr>
              <w:t>May 13, 2026</w:t>
            </w:r>
          </w:p>
        </w:tc>
        <w:tc>
          <w:tcPr>
            <w:tcW w:type="dxa" w:w="1440"/>
          </w:tcPr>
          <w:p>
            <w:r>
              <w:rPr>
                <w:rFonts w:ascii="Calibri" w:hAnsi="Calibri"/>
                <w:sz w:val="22"/>
              </w:rPr>
              <w:t>Small discretionary sale; 6,525 shares remaining post-transaction; no 10b5-1 plan indicated</w:t>
            </w:r>
          </w:p>
        </w:tc>
      </w:tr>
      <w:tr>
        <w:tc>
          <w:tcPr>
            <w:tcW w:type="dxa" w:w="1440"/>
          </w:tcPr>
          <w:p>
            <w:r>
              <w:rPr>
                <w:rFonts w:ascii="Calibri" w:hAnsi="Calibri"/>
                <w:sz w:val="22"/>
              </w:rPr>
              <w:t>Henschen, Michael A. II</w:t>
            </w:r>
          </w:p>
        </w:tc>
        <w:tc>
          <w:tcPr>
            <w:tcW w:type="dxa" w:w="1440"/>
          </w:tcPr>
          <w:p>
            <w:r>
              <w:rPr>
                <w:rFonts w:ascii="Calibri" w:hAnsi="Calibri"/>
                <w:sz w:val="22"/>
              </w:rPr>
              <w:t>EVP, Refining</w:t>
            </w:r>
          </w:p>
        </w:tc>
        <w:tc>
          <w:tcPr>
            <w:tcW w:type="dxa" w:w="1440"/>
          </w:tcPr>
          <w:p>
            <w:r>
              <w:rPr>
                <w:rFonts w:ascii="Calibri" w:hAnsi="Calibri"/>
                <w:sz w:val="22"/>
              </w:rPr>
              <w:t>Option Exercise (M code)</w:t>
            </w:r>
          </w:p>
        </w:tc>
        <w:tc>
          <w:tcPr>
            <w:tcW w:type="dxa" w:w="1440"/>
          </w:tcPr>
          <w:p>
            <w:r>
              <w:rPr>
                <w:rFonts w:ascii="Calibri" w:hAnsi="Calibri"/>
                <w:sz w:val="22"/>
              </w:rPr>
              <w:t>4,964 options exercised</w:t>
            </w:r>
          </w:p>
        </w:tc>
        <w:tc>
          <w:tcPr>
            <w:tcW w:type="dxa" w:w="1440"/>
          </w:tcPr>
          <w:p>
            <w:r>
              <w:rPr>
                <w:rFonts w:ascii="Calibri" w:hAnsi="Calibri"/>
                <w:sz w:val="22"/>
              </w:rPr>
              <w:t>June 4, 2026</w:t>
            </w:r>
          </w:p>
        </w:tc>
        <w:tc>
          <w:tcPr>
            <w:tcW w:type="dxa" w:w="1440"/>
          </w:tcPr>
          <w:p>
            <w:r>
              <w:rPr>
                <w:rFonts w:ascii="Calibri" w:hAnsi="Calibri"/>
                <w:sz w:val="22"/>
              </w:rPr>
              <w:t>Standard option exercise; acquired 4,964 shares of common stock</w:t>
            </w:r>
          </w:p>
        </w:tc>
      </w:tr>
      <w:tr>
        <w:tc>
          <w:tcPr>
            <w:tcW w:type="dxa" w:w="1440"/>
          </w:tcPr>
          <w:p>
            <w:r>
              <w:rPr>
                <w:rFonts w:ascii="Calibri" w:hAnsi="Calibri"/>
                <w:sz w:val="22"/>
              </w:rPr>
              <w:t>Henschen, Michael A. II</w:t>
            </w:r>
          </w:p>
        </w:tc>
        <w:tc>
          <w:tcPr>
            <w:tcW w:type="dxa" w:w="1440"/>
          </w:tcPr>
          <w:p>
            <w:r>
              <w:rPr>
                <w:rFonts w:ascii="Calibri" w:hAnsi="Calibri"/>
                <w:sz w:val="22"/>
              </w:rPr>
              <w:t>EVP, Refining</w:t>
            </w:r>
          </w:p>
        </w:tc>
        <w:tc>
          <w:tcPr>
            <w:tcW w:type="dxa" w:w="1440"/>
          </w:tcPr>
          <w:p>
            <w:r>
              <w:rPr>
                <w:rFonts w:ascii="Calibri" w:hAnsi="Calibri"/>
                <w:sz w:val="22"/>
              </w:rPr>
              <w:t>Open Market Sale</w:t>
            </w:r>
          </w:p>
        </w:tc>
        <w:tc>
          <w:tcPr>
            <w:tcW w:type="dxa" w:w="1440"/>
          </w:tcPr>
          <w:p>
            <w:r>
              <w:rPr>
                <w:rFonts w:ascii="Calibri" w:hAnsi="Calibri"/>
                <w:sz w:val="22"/>
              </w:rPr>
              <w:t>6,336 shares</w:t>
            </w:r>
          </w:p>
        </w:tc>
        <w:tc>
          <w:tcPr>
            <w:tcW w:type="dxa" w:w="1440"/>
          </w:tcPr>
          <w:p>
            <w:r>
              <w:rPr>
                <w:rFonts w:ascii="Calibri" w:hAnsi="Calibri"/>
                <w:sz w:val="22"/>
              </w:rPr>
              <w:t>June 4, 2026</w:t>
            </w:r>
          </w:p>
        </w:tc>
        <w:tc>
          <w:tcPr>
            <w:tcW w:type="dxa" w:w="1440"/>
          </w:tcPr>
          <w:p>
            <w:r>
              <w:rPr>
                <w:rFonts w:ascii="Calibri" w:hAnsi="Calibri"/>
                <w:sz w:val="22"/>
              </w:rPr>
              <w:t>Sale following option exercise; 16,900 shares remaining post-transaction; routine exercise-and-sell pattern; no 10b5-1 plan indicated</w:t>
            </w:r>
          </w:p>
        </w:tc>
      </w:tr>
    </w:tbl>
    <w:p>
      <w:r>
        <w:rPr>
          <w:rFonts w:ascii="Calibri" w:hAnsi="Calibri"/>
          <w:color w:val="525866"/>
          <w:sz w:val="22"/>
        </w:rPr>
        <w:t>No open-market buys were filed in the period since the Q1 2026 earnings date. The two transactions on record are routine — a small discretionary sale by the CCO (1,000 shares) and a standard option exercise-and-sell by the EVP of Refining. Neither transaction is large enough in size or unusual enough in pattern to signal a directional view ahead of the Q2 print. The absence of any clustered buying is not a negative signal given the stock's ~18% run since earnings; insiders may simply be allowing the buyback program to do the work. Source: Insider Transaction Data (Form 4 filings).</w:t>
      </w:r>
    </w:p>
    <w:p>
      <w:r>
        <w:rPr>
          <w:rFonts w:ascii="Calibri" w:hAnsi="Calibri"/>
          <w:b/>
          <w:color w:val="525866"/>
          <w:sz w:val="22"/>
        </w:rPr>
        <w:t xml:space="preserve">Disclaimer: </w:t>
      </w:r>
      <w:r>
        <w:rPr>
          <w:rFonts w:ascii="Calibri" w:hAnsi="Calibri"/>
          <w:color w:val="525866"/>
          <w:sz w:val="22"/>
        </w:rPr>
        <w:t>This document is prepared for informational purposes only and does not constitute investment advice. All consensus estimates sourced from Visible Alpha. Stock price data sourced from Yahoo Finance. Insider transaction data sourced from SEC Form 4 filings. Peer commentary sourced from publicly available earnings call transcripts. Prepared: August 3, 2026.</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