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Marathon Petroleum Corporation (MPC)</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MPC</w:t>
            </w:r>
          </w:p>
        </w:tc>
      </w:tr>
      <w:tr>
        <w:tc>
          <w:tcPr>
            <w:tcW w:type="dxa" w:w="4320"/>
          </w:tcPr>
          <w:p>
            <w:r>
              <w:rPr>
                <w:rFonts w:ascii="Calibri" w:hAnsi="Calibri"/>
                <w:b/>
                <w:sz w:val="22"/>
              </w:rPr>
              <w:t>Earnings Date</w:t>
            </w:r>
          </w:p>
        </w:tc>
        <w:tc>
          <w:tcPr>
            <w:tcW w:type="dxa" w:w="4320"/>
          </w:tcPr>
          <w:p>
            <w:r>
              <w:rPr>
                <w:rFonts w:ascii="Calibri" w:hAnsi="Calibri"/>
                <w:sz w:val="22"/>
              </w:rPr>
              <w:t>August 4, 2026 — 11:00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Consensus is a low bar heading into Q2 2026 — the single biggest swing factor is whether MPC's capture rate can sustain near-100% levels amid extraordinary macro tailwinds from the Iran conflict, with the derivative timing unwind from Q1 providing an additional tailwind.</w:t>
      </w:r>
    </w:p>
    <w:p>
      <w:r>
        <w:rPr>
          <w:rFonts w:ascii="Calibri" w:hAnsi="Calibri"/>
          <w:color w:val="525866"/>
          <w:sz w:val="22"/>
        </w:rPr>
        <w:t xml:space="preserve">MPC enters Q2 2026 earnings with one of the most favorable macro setups in recent memory: the Iran conflict has taken an estimated 6 million barrels per day of global refining capacity offline, driving crack spreads to multi-year highs and creating a structural product inventory deficit that peers like Valero and PBF describe as persisting well into 2027. Consensus EPS for Q2 2026 stands at approximately </w:t>
      </w:r>
      <w:r>
        <w:rPr>
          <w:rFonts w:ascii="Calibri" w:hAnsi="Calibri"/>
          <w:b/>
          <w:color w:val="525866"/>
          <w:sz w:val="22"/>
        </w:rPr>
        <w:t>$14.11</w:t>
      </w:r>
      <w:r>
        <w:rPr>
          <w:rFonts w:ascii="Calibri" w:hAnsi="Calibri"/>
          <w:color w:val="525866"/>
          <w:sz w:val="22"/>
        </w:rPr>
        <w:t xml:space="preserve"> — a figure that has been revised sharply higher since the Q1 print (from ~$11.41 at the time of last earnings), yet still likely understates MPC's earnings power given management's explicit guidance for </w:t>
      </w:r>
      <w:r>
        <w:rPr>
          <w:rFonts w:ascii="Calibri" w:hAnsi="Calibri"/>
          <w:b/>
          <w:color w:val="525866"/>
          <w:sz w:val="22"/>
        </w:rPr>
        <w:t>94% utilization</w:t>
      </w:r>
      <w:r>
        <w:rPr>
          <w:rFonts w:ascii="Calibri" w:hAnsi="Calibri"/>
          <w:color w:val="525866"/>
          <w:sz w:val="22"/>
        </w:rPr>
        <w:t xml:space="preserve"> (vs. 89% in Q1), the expected unwind of Q1 derivative timing headwinds, and the company's unique inland crude sourcing advantage (SPR barrels, Canadian, Bakken). The stock has rallied ~18% since the May 5 earnings date, outperforming XLE meaningfully, suggesting the market has partially priced in a strong quarter — but the magnitude of the macro tailwind and MPC's operational leverage leave room for another upside surprise. The key wildcard is </w:t>
      </w:r>
      <w:r>
        <w:rPr>
          <w:rFonts w:ascii="Calibri" w:hAnsi="Calibri"/>
          <w:b/>
          <w:color w:val="525866"/>
          <w:sz w:val="22"/>
        </w:rPr>
        <w:t>capture rate</w:t>
      </w:r>
      <w:r>
        <w:rPr>
          <w:rFonts w:ascii="Calibri" w:hAnsi="Calibri"/>
          <w:color w:val="525866"/>
          <w:sz w:val="22"/>
        </w:rPr>
        <w:t>: Q1 came in at 99% (would have exceeded 100% ex-derivatives and secondary product headwinds); if Q2 capture normalizes toward the guided ~93% consensus level, the beat could be modest, but if MPC again outperforms on commercial execution — as it has in 4 of the last 5 quarters — the print could be another blowout.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both EPS and utilization — the derivative timing unwind from Q1 and higher guided utilization (94% vs. 89% actual in Q1) are the two biggest upside levers. Capture rate is the swing factor: consensus sits at ~93%, but MPC has beaten this in 4 of the last 5 quarters.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$1.65</w:t>
            </w:r>
          </w:p>
        </w:tc>
        <w:tc>
          <w:tcPr>
            <w:tcW w:type="dxa" w:w="1234"/>
          </w:tcPr>
          <w:p>
            <w:r>
              <w:rPr>
                <w:rFonts w:ascii="Calibri" w:hAnsi="Calibri"/>
                <w:sz w:val="22"/>
              </w:rPr>
              <w:t>$3.96</w:t>
            </w:r>
          </w:p>
        </w:tc>
        <w:tc>
          <w:tcPr>
            <w:tcW w:type="dxa" w:w="1234"/>
          </w:tcPr>
          <w:p>
            <w:r>
              <w:rPr>
                <w:rFonts w:ascii="Calibri" w:hAnsi="Calibri"/>
                <w:sz w:val="22"/>
              </w:rPr>
              <w:t>$14.11</w:t>
            </w:r>
          </w:p>
        </w:tc>
        <w:tc>
          <w:tcPr>
            <w:tcW w:type="dxa" w:w="1234"/>
          </w:tcPr>
          <w:p>
            <w:r>
              <w:rPr>
                <w:rFonts w:ascii="Calibri" w:hAnsi="Calibri"/>
                <w:b/>
                <w:color w:val="30A46C"/>
                <w:sz w:val="22"/>
              </w:rPr>
              <w:t>+256% YoY</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Crude Oil Capacity Utilization (%)</w:t>
            </w:r>
          </w:p>
        </w:tc>
        <w:tc>
          <w:tcPr>
            <w:tcW w:type="dxa" w:w="1234"/>
          </w:tcPr>
          <w:p>
            <w:r>
              <w:rPr>
                <w:rFonts w:ascii="Calibri" w:hAnsi="Calibri"/>
                <w:sz w:val="22"/>
              </w:rPr>
              <w:t>89.2%</w:t>
            </w:r>
          </w:p>
        </w:tc>
        <w:tc>
          <w:tcPr>
            <w:tcW w:type="dxa" w:w="1234"/>
          </w:tcPr>
          <w:p>
            <w:r>
              <w:rPr>
                <w:rFonts w:ascii="Calibri" w:hAnsi="Calibri"/>
                <w:sz w:val="22"/>
              </w:rPr>
              <w:t>96.6%</w:t>
            </w:r>
          </w:p>
        </w:tc>
        <w:tc>
          <w:tcPr>
            <w:tcW w:type="dxa" w:w="1234"/>
          </w:tcPr>
          <w:p>
            <w:r>
              <w:rPr>
                <w:rFonts w:ascii="Calibri" w:hAnsi="Calibri"/>
                <w:sz w:val="22"/>
              </w:rPr>
              <w:t>95.0%</w:t>
            </w:r>
          </w:p>
        </w:tc>
        <w:tc>
          <w:tcPr>
            <w:tcW w:type="dxa" w:w="1234"/>
          </w:tcPr>
          <w:p>
            <w:r>
              <w:rPr>
                <w:rFonts w:ascii="Calibri" w:hAnsi="Calibri"/>
                <w:sz w:val="22"/>
              </w:rPr>
              <w:t>-1.6 pp YoY</w:t>
            </w:r>
          </w:p>
        </w:tc>
        <w:tc>
          <w:tcPr>
            <w:tcW w:type="dxa" w:w="1234"/>
          </w:tcPr>
          <w:p>
            <w:r>
              <w:rPr>
                <w:rFonts w:ascii="Calibri" w:hAnsi="Calibri"/>
                <w:sz w:val="22"/>
              </w:rPr>
              <w:t>~94% (mgmt. guided)</w:t>
            </w:r>
          </w:p>
        </w:tc>
        <w:tc>
          <w:tcPr>
            <w:tcW w:type="dxa" w:w="1234"/>
          </w:tcPr>
          <w:p>
            <w:r>
              <w:rPr>
                <w:rFonts w:ascii="Calibri" w:hAnsi="Calibri"/>
                <w:sz w:val="22"/>
              </w:rPr>
              <w:t>+1.0 pp above guidance midpoint</w:t>
            </w:r>
          </w:p>
        </w:tc>
      </w:tr>
      <w:tr>
        <w:tc>
          <w:tcPr>
            <w:tcW w:type="dxa" w:w="1234"/>
          </w:tcPr>
          <w:p>
            <w:r>
              <w:rPr>
                <w:rFonts w:ascii="Calibri" w:hAnsi="Calibri"/>
                <w:sz w:val="22"/>
              </w:rPr>
              <w:t>Capture Rate — Refining (%)</w:t>
            </w:r>
          </w:p>
        </w:tc>
        <w:tc>
          <w:tcPr>
            <w:tcW w:type="dxa" w:w="1234"/>
          </w:tcPr>
          <w:p>
            <w:r>
              <w:rPr>
                <w:rFonts w:ascii="Calibri" w:hAnsi="Calibri"/>
                <w:sz w:val="22"/>
              </w:rPr>
              <w:t>96.2%</w:t>
            </w:r>
          </w:p>
        </w:tc>
        <w:tc>
          <w:tcPr>
            <w:tcW w:type="dxa" w:w="1234"/>
          </w:tcPr>
          <w:p>
            <w:r>
              <w:rPr>
                <w:rFonts w:ascii="Calibri" w:hAnsi="Calibri"/>
                <w:sz w:val="22"/>
              </w:rPr>
              <w:t>102.3%</w:t>
            </w:r>
          </w:p>
        </w:tc>
        <w:tc>
          <w:tcPr>
            <w:tcW w:type="dxa" w:w="1234"/>
          </w:tcPr>
          <w:p>
            <w:r>
              <w:rPr>
                <w:rFonts w:ascii="Calibri" w:hAnsi="Calibri"/>
                <w:sz w:val="22"/>
              </w:rPr>
              <w:t>93.3%</w:t>
            </w:r>
          </w:p>
        </w:tc>
        <w:tc>
          <w:tcPr>
            <w:tcW w:type="dxa" w:w="1234"/>
          </w:tcPr>
          <w:p>
            <w:r>
              <w:rPr>
                <w:rFonts w:ascii="Calibri" w:hAnsi="Calibri"/>
                <w:sz w:val="22"/>
              </w:rPr>
              <w:t>-9.0 pp YoY</w:t>
            </w:r>
          </w:p>
        </w:tc>
        <w:tc>
          <w:tcPr>
            <w:tcW w:type="dxa" w:w="1234"/>
          </w:tcPr>
          <w:p>
            <w:r>
              <w:rPr>
                <w:rFonts w:ascii="Calibri" w:hAnsi="Calibri"/>
                <w:sz w:val="22"/>
              </w:rPr>
              <w:t>No specific guidance; derivative unwind expected to be tailwind</w:t>
            </w:r>
          </w:p>
        </w:tc>
        <w:tc>
          <w:tcPr>
            <w:tcW w:type="dxa" w:w="1234"/>
          </w:tcPr>
          <w:p>
            <w:r>
              <w:rPr>
                <w:rFonts w:ascii="Calibri" w:hAnsi="Calibri"/>
                <w:sz w:val="22"/>
              </w:rPr>
              <w:t>N/A</w:t>
            </w:r>
          </w:p>
        </w:tc>
      </w:tr>
      <w:tr>
        <w:tc>
          <w:tcPr>
            <w:tcW w:type="dxa" w:w="1234"/>
          </w:tcPr>
          <w:p>
            <w:r>
              <w:rPr>
                <w:rFonts w:ascii="Calibri" w:hAnsi="Calibri"/>
                <w:sz w:val="22"/>
              </w:rPr>
              <w:t>Total Throughput — Refining &amp; Marketing (Mbpd)</w:t>
            </w:r>
          </w:p>
        </w:tc>
        <w:tc>
          <w:tcPr>
            <w:tcW w:type="dxa" w:w="1234"/>
          </w:tcPr>
          <w:p>
            <w:r>
              <w:rPr>
                <w:rFonts w:ascii="Calibri" w:hAnsi="Calibri"/>
                <w:sz w:val="22"/>
              </w:rPr>
              <w:t>2,850 Mbpd</w:t>
            </w:r>
          </w:p>
        </w:tc>
        <w:tc>
          <w:tcPr>
            <w:tcW w:type="dxa" w:w="1234"/>
          </w:tcPr>
          <w:p>
            <w:r>
              <w:rPr>
                <w:rFonts w:ascii="Calibri" w:hAnsi="Calibri"/>
                <w:sz w:val="22"/>
              </w:rPr>
              <w:t>3,060 Mbpd</w:t>
            </w:r>
          </w:p>
        </w:tc>
        <w:tc>
          <w:tcPr>
            <w:tcW w:type="dxa" w:w="1234"/>
          </w:tcPr>
          <w:p>
            <w:r>
              <w:rPr>
                <w:rFonts w:ascii="Calibri" w:hAnsi="Calibri"/>
                <w:sz w:val="22"/>
              </w:rPr>
              <w:t>2,988 Mbpd</w:t>
            </w:r>
          </w:p>
        </w:tc>
        <w:tc>
          <w:tcPr>
            <w:tcW w:type="dxa" w:w="1234"/>
          </w:tcPr>
          <w:p>
            <w:r>
              <w:rPr>
                <w:rFonts w:ascii="Calibri" w:hAnsi="Calibri"/>
                <w:sz w:val="22"/>
              </w:rPr>
              <w:t>-2.4% YoY</w:t>
            </w:r>
          </w:p>
        </w:tc>
        <w:tc>
          <w:tcPr>
            <w:tcW w:type="dxa" w:w="1234"/>
          </w:tcPr>
          <w:p>
            <w:r>
              <w:rPr>
                <w:rFonts w:ascii="Calibri" w:hAnsi="Calibri"/>
                <w:sz w:val="22"/>
              </w:rPr>
              <w:t>Implied by ~94% utilization guidance</w:t>
            </w:r>
          </w:p>
        </w:tc>
        <w:tc>
          <w:tcPr>
            <w:tcW w:type="dxa" w:w="1234"/>
          </w:tcPr>
          <w:p>
            <w:r>
              <w:rPr>
                <w:rFonts w:ascii="Calibri" w:hAnsi="Calibri"/>
                <w:sz w:val="22"/>
              </w:rPr>
              <w:t>~+0.5% above implied guidance</w:t>
            </w:r>
          </w:p>
        </w:tc>
      </w:tr>
      <w:tr>
        <w:tc>
          <w:tcPr>
            <w:tcW w:type="dxa" w:w="1234"/>
          </w:tcPr>
          <w:p>
            <w:r>
              <w:rPr>
                <w:rFonts w:ascii="Calibri" w:hAnsi="Calibri"/>
                <w:sz w:val="22"/>
              </w:rPr>
              <w:t>Adjusted EBITDA — Refining &amp; Marketing ($B)</w:t>
            </w:r>
          </w:p>
        </w:tc>
        <w:tc>
          <w:tcPr>
            <w:tcW w:type="dxa" w:w="1234"/>
          </w:tcPr>
          <w:p>
            <w:r>
              <w:rPr>
                <w:rFonts w:ascii="Calibri" w:hAnsi="Calibri"/>
                <w:sz w:val="22"/>
              </w:rPr>
              <w:t>$1.38B</w:t>
            </w:r>
          </w:p>
        </w:tc>
        <w:tc>
          <w:tcPr>
            <w:tcW w:type="dxa" w:w="1234"/>
          </w:tcPr>
          <w:p>
            <w:r>
              <w:rPr>
                <w:rFonts w:ascii="Calibri" w:hAnsi="Calibri"/>
                <w:sz w:val="22"/>
              </w:rPr>
              <w:t>$1.89B</w:t>
            </w:r>
          </w:p>
        </w:tc>
        <w:tc>
          <w:tcPr>
            <w:tcW w:type="dxa" w:w="1234"/>
          </w:tcPr>
          <w:p>
            <w:r>
              <w:rPr>
                <w:rFonts w:ascii="Calibri" w:hAnsi="Calibri"/>
                <w:sz w:val="22"/>
              </w:rPr>
              <w:t>$5.46B</w:t>
            </w:r>
          </w:p>
        </w:tc>
        <w:tc>
          <w:tcPr>
            <w:tcW w:type="dxa" w:w="1234"/>
          </w:tcPr>
          <w:p>
            <w:r>
              <w:rPr>
                <w:rFonts w:ascii="Calibri" w:hAnsi="Calibri"/>
                <w:b/>
                <w:color w:val="30A46C"/>
                <w:sz w:val="22"/>
              </w:rPr>
              <w:t>+189% YoY</w:t>
            </w:r>
          </w:p>
        </w:tc>
        <w:tc>
          <w:tcPr>
            <w:tcW w:type="dxa" w:w="1234"/>
          </w:tcPr>
          <w:p>
            <w:r>
              <w:rPr>
                <w:rFonts w:ascii="Calibri" w:hAnsi="Calibri"/>
                <w:sz w:val="22"/>
              </w:rPr>
              <w:t>No specific EBITDA guidance provided</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 Q2 2026 utilization guidance of ~94% stated by management on the Q1 2026 earnings call (May 5, 2026).</w:t>
      </w:r>
    </w:p>
    <w:p>
      <w:pPr>
        <w:pStyle w:val="Heading3"/>
      </w:pPr>
      <w:r>
        <w:rPr>
          <w:rFonts w:ascii="Calibri" w:hAnsi="Calibri"/>
          <w:b/>
          <w:color w:val="3B4259"/>
          <w:sz w:val="24"/>
        </w:rPr>
        <w:t>Table 2 — Beat/Miss History: Top 2 KPIs (Last 8 Quarters)</w:t>
      </w:r>
    </w:p>
    <w:p>
      <w:pPr>
        <w:pStyle w:val="Heading4"/>
      </w:pPr>
      <w:r>
        <w:rPr>
          <w:rFonts w:ascii="Calibri" w:hAnsi="Calibri"/>
          <w:b/>
          <w:color w:val="3B4259"/>
          <w:sz w:val="22"/>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$3.96</w:t>
            </w:r>
          </w:p>
        </w:tc>
        <w:tc>
          <w:tcPr>
            <w:tcW w:type="dxa" w:w="1728"/>
          </w:tcPr>
          <w:p>
            <w:r>
              <w:rPr>
                <w:rFonts w:ascii="Calibri" w:hAnsi="Calibri"/>
                <w:sz w:val="22"/>
              </w:rPr>
              <w:t>$3.22</w:t>
            </w:r>
          </w:p>
        </w:tc>
        <w:tc>
          <w:tcPr>
            <w:tcW w:type="dxa" w:w="1728"/>
          </w:tcPr>
          <w:p>
            <w:r>
              <w:rPr>
                <w:rFonts w:ascii="Calibri" w:hAnsi="Calibri"/>
                <w:b/>
                <w:color w:val="30A46C"/>
                <w:sz w:val="22"/>
              </w:rPr>
              <w:t>+23.0%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$1.87</w:t>
            </w:r>
          </w:p>
        </w:tc>
        <w:tc>
          <w:tcPr>
            <w:tcW w:type="dxa" w:w="1728"/>
          </w:tcPr>
          <w:p>
            <w:r>
              <w:rPr>
                <w:rFonts w:ascii="Calibri" w:hAnsi="Calibri"/>
                <w:sz w:val="22"/>
              </w:rPr>
              <w:t>$1.01</w:t>
            </w:r>
          </w:p>
        </w:tc>
        <w:tc>
          <w:tcPr>
            <w:tcW w:type="dxa" w:w="1728"/>
          </w:tcPr>
          <w:p>
            <w:r>
              <w:rPr>
                <w:rFonts w:ascii="Calibri" w:hAnsi="Calibri"/>
                <w:b/>
                <w:color w:val="30A46C"/>
                <w:sz w:val="22"/>
              </w:rPr>
              <w:t>+85.1%</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$0.05</w:t>
            </w:r>
          </w:p>
        </w:tc>
        <w:tc>
          <w:tcPr>
            <w:tcW w:type="dxa" w:w="1728"/>
          </w:tcPr>
          <w:p>
            <w:r>
              <w:rPr>
                <w:rFonts w:ascii="Calibri" w:hAnsi="Calibri"/>
                <w:b/>
                <w:color w:val="30A46C"/>
                <w:sz w:val="22"/>
              </w:rPr>
              <w:t>+1,494%</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-$0.24</w:t>
            </w:r>
          </w:p>
        </w:tc>
        <w:tc>
          <w:tcPr>
            <w:tcW w:type="dxa" w:w="1728"/>
          </w:tcPr>
          <w:p>
            <w:r>
              <w:rPr>
                <w:rFonts w:ascii="Calibri" w:hAnsi="Calibri"/>
                <w:sz w:val="22"/>
              </w:rPr>
              <w:t>-$0.56</w:t>
            </w:r>
          </w:p>
        </w:tc>
        <w:tc>
          <w:tcPr>
            <w:tcW w:type="dxa" w:w="1728"/>
          </w:tcPr>
          <w:p>
            <w:r>
              <w:rPr>
                <w:rFonts w:ascii="Calibri" w:hAnsi="Calibri"/>
                <w:b/>
                <w:color w:val="30A46C"/>
                <w:sz w:val="22"/>
              </w:rPr>
              <w:t>+57.1%</w:t>
            </w:r>
          </w:p>
        </w:tc>
        <w:tc>
          <w:tcPr>
            <w:tcW w:type="dxa" w:w="1728"/>
          </w:tcPr>
          <w:p>
            <w:r>
              <w:rPr>
                <w:rFonts w:ascii="Calibri" w:hAnsi="Calibri"/>
                <w:sz w:val="22"/>
              </w:rPr>
              <w:t>Beat (smaller loss)</w:t>
            </w:r>
          </w:p>
        </w:tc>
      </w:tr>
      <w:tr>
        <w:tc>
          <w:tcPr>
            <w:tcW w:type="dxa" w:w="1728"/>
          </w:tcPr>
          <w:p>
            <w:r>
              <w:rPr>
                <w:rFonts w:ascii="Calibri" w:hAnsi="Calibri"/>
                <w:sz w:val="22"/>
              </w:rPr>
              <w:t>Q2 2025</w:t>
            </w:r>
          </w:p>
        </w:tc>
        <w:tc>
          <w:tcPr>
            <w:tcW w:type="dxa" w:w="1728"/>
          </w:tcPr>
          <w:p>
            <w:r>
              <w:rPr>
                <w:rFonts w:ascii="Calibri" w:hAnsi="Calibri"/>
                <w:sz w:val="22"/>
              </w:rPr>
              <w:t>$3.96</w:t>
            </w:r>
          </w:p>
        </w:tc>
        <w:tc>
          <w:tcPr>
            <w:tcW w:type="dxa" w:w="1728"/>
          </w:tcPr>
          <w:p>
            <w:r>
              <w:rPr>
                <w:rFonts w:ascii="Calibri" w:hAnsi="Calibri"/>
                <w:sz w:val="22"/>
              </w:rPr>
              <w:t>$3.22</w:t>
            </w:r>
          </w:p>
        </w:tc>
        <w:tc>
          <w:tcPr>
            <w:tcW w:type="dxa" w:w="1728"/>
          </w:tcPr>
          <w:p>
            <w:r>
              <w:rPr>
                <w:rFonts w:ascii="Calibri" w:hAnsi="Calibri"/>
                <w:b/>
                <w:color w:val="30A46C"/>
                <w:sz w:val="22"/>
              </w:rPr>
              <w:t>+23.0%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$3.01</w:t>
            </w:r>
          </w:p>
        </w:tc>
        <w:tc>
          <w:tcPr>
            <w:tcW w:type="dxa" w:w="1728"/>
          </w:tcPr>
          <w:p>
            <w:r>
              <w:rPr>
                <w:rFonts w:ascii="Calibri" w:hAnsi="Calibri"/>
                <w:sz w:val="22"/>
              </w:rPr>
              <w:t>$3.15</w:t>
            </w:r>
          </w:p>
        </w:tc>
        <w:tc>
          <w:tcPr>
            <w:tcW w:type="dxa" w:w="1728"/>
          </w:tcPr>
          <w:p>
            <w:r>
              <w:rPr>
                <w:rFonts w:ascii="Calibri" w:hAnsi="Calibri"/>
                <w:b/>
                <w:color w:val="E5484D"/>
                <w:sz w:val="22"/>
              </w:rPr>
              <w:t>-4.4%</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$4.07</w:t>
            </w:r>
          </w:p>
        </w:tc>
        <w:tc>
          <w:tcPr>
            <w:tcW w:type="dxa" w:w="1728"/>
          </w:tcPr>
          <w:p>
            <w:r>
              <w:rPr>
                <w:rFonts w:ascii="Calibri" w:hAnsi="Calibri"/>
                <w:sz w:val="22"/>
              </w:rPr>
              <w:t>$2.70</w:t>
            </w:r>
          </w:p>
        </w:tc>
        <w:tc>
          <w:tcPr>
            <w:tcW w:type="dxa" w:w="1728"/>
          </w:tcPr>
          <w:p>
            <w:r>
              <w:rPr>
                <w:rFonts w:ascii="Calibri" w:hAnsi="Calibri"/>
                <w:b/>
                <w:color w:val="30A46C"/>
                <w:sz w:val="22"/>
              </w:rPr>
              <w:t>+50.7%</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$1.65</w:t>
            </w:r>
          </w:p>
        </w:tc>
        <w:tc>
          <w:tcPr>
            <w:tcW w:type="dxa" w:w="1728"/>
          </w:tcPr>
          <w:p>
            <w:r>
              <w:rPr>
                <w:rFonts w:ascii="Calibri" w:hAnsi="Calibri"/>
                <w:sz w:val="22"/>
              </w:rPr>
              <w:t>$0.76</w:t>
            </w:r>
          </w:p>
        </w:tc>
        <w:tc>
          <w:tcPr>
            <w:tcW w:type="dxa" w:w="1728"/>
          </w:tcPr>
          <w:p>
            <w:r>
              <w:rPr>
                <w:rFonts w:ascii="Calibri" w:hAnsi="Calibri"/>
                <w:b/>
                <w:color w:val="30A46C"/>
                <w:sz w:val="22"/>
              </w:rPr>
              <w:t>+117.1%</w:t>
            </w:r>
          </w:p>
        </w:tc>
        <w:tc>
          <w:tcPr>
            <w:tcW w:type="dxa" w:w="1728"/>
          </w:tcPr>
          <w:p>
            <w:r>
              <w:rPr>
                <w:rFonts w:ascii="Calibri" w:hAnsi="Calibri"/>
                <w:sz w:val="22"/>
              </w:rPr>
              <w:t>Beat</w:t>
            </w:r>
          </w:p>
        </w:tc>
      </w:tr>
    </w:tbl>
    <w:p>
      <w:pPr>
        <w:pStyle w:val="Heading4"/>
      </w:pPr>
      <w:r>
        <w:rPr>
          <w:rFonts w:ascii="Calibri" w:hAnsi="Calibri"/>
          <w:b/>
          <w:color w:val="3B4259"/>
          <w:sz w:val="22"/>
        </w:rPr>
        <w:t>Crude Oil Capacity Utilization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96.6%</w:t>
            </w:r>
          </w:p>
        </w:tc>
        <w:tc>
          <w:tcPr>
            <w:tcW w:type="dxa" w:w="1728"/>
          </w:tcPr>
          <w:p>
            <w:r>
              <w:rPr>
                <w:rFonts w:ascii="Calibri" w:hAnsi="Calibri"/>
                <w:sz w:val="22"/>
              </w:rPr>
              <w:t>94.1%</w:t>
            </w:r>
          </w:p>
        </w:tc>
        <w:tc>
          <w:tcPr>
            <w:tcW w:type="dxa" w:w="1728"/>
          </w:tcPr>
          <w:p>
            <w:r>
              <w:rPr>
                <w:rFonts w:ascii="Calibri" w:hAnsi="Calibri"/>
                <w:b/>
                <w:color w:val="30A46C"/>
                <w:sz w:val="22"/>
              </w:rPr>
              <w:t>+2.5 pp</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94.1%</w:t>
            </w:r>
          </w:p>
        </w:tc>
        <w:tc>
          <w:tcPr>
            <w:tcW w:type="dxa" w:w="1728"/>
          </w:tcPr>
          <w:p>
            <w:r>
              <w:rPr>
                <w:rFonts w:ascii="Calibri" w:hAnsi="Calibri"/>
                <w:sz w:val="22"/>
              </w:rPr>
              <w:t>90.1%</w:t>
            </w:r>
          </w:p>
        </w:tc>
        <w:tc>
          <w:tcPr>
            <w:tcW w:type="dxa" w:w="1728"/>
          </w:tcPr>
          <w:p>
            <w:r>
              <w:rPr>
                <w:rFonts w:ascii="Calibri" w:hAnsi="Calibri"/>
                <w:b/>
                <w:color w:val="30A46C"/>
                <w:sz w:val="22"/>
              </w:rPr>
              <w:t>+4.0 pp</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93.9%</w:t>
            </w:r>
          </w:p>
        </w:tc>
        <w:tc>
          <w:tcPr>
            <w:tcW w:type="dxa" w:w="1728"/>
          </w:tcPr>
          <w:p>
            <w:r>
              <w:rPr>
                <w:rFonts w:ascii="Calibri" w:hAnsi="Calibri"/>
                <w:sz w:val="22"/>
              </w:rPr>
              <w:t>90.9%</w:t>
            </w:r>
          </w:p>
        </w:tc>
        <w:tc>
          <w:tcPr>
            <w:tcW w:type="dxa" w:w="1728"/>
          </w:tcPr>
          <w:p>
            <w:r>
              <w:rPr>
                <w:rFonts w:ascii="Calibri" w:hAnsi="Calibri"/>
                <w:b/>
                <w:color w:val="30A46C"/>
                <w:sz w:val="22"/>
              </w:rPr>
              <w:t>+3.0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87.8%</w:t>
            </w:r>
          </w:p>
        </w:tc>
        <w:tc>
          <w:tcPr>
            <w:tcW w:type="dxa" w:w="1728"/>
          </w:tcPr>
          <w:p>
            <w:r>
              <w:rPr>
                <w:rFonts w:ascii="Calibri" w:hAnsi="Calibri"/>
                <w:sz w:val="22"/>
              </w:rPr>
              <w:t>85.3%</w:t>
            </w:r>
          </w:p>
        </w:tc>
        <w:tc>
          <w:tcPr>
            <w:tcW w:type="dxa" w:w="1728"/>
          </w:tcPr>
          <w:p>
            <w:r>
              <w:rPr>
                <w:rFonts w:ascii="Calibri" w:hAnsi="Calibri"/>
                <w:b/>
                <w:color w:val="30A46C"/>
                <w:sz w:val="22"/>
              </w:rPr>
              <w:t>+2.5 pp</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96.6%</w:t>
            </w:r>
          </w:p>
        </w:tc>
        <w:tc>
          <w:tcPr>
            <w:tcW w:type="dxa" w:w="1728"/>
          </w:tcPr>
          <w:p>
            <w:r>
              <w:rPr>
                <w:rFonts w:ascii="Calibri" w:hAnsi="Calibri"/>
                <w:sz w:val="22"/>
              </w:rPr>
              <w:t>94.1%</w:t>
            </w:r>
          </w:p>
        </w:tc>
        <w:tc>
          <w:tcPr>
            <w:tcW w:type="dxa" w:w="1728"/>
          </w:tcPr>
          <w:p>
            <w:r>
              <w:rPr>
                <w:rFonts w:ascii="Calibri" w:hAnsi="Calibri"/>
                <w:b/>
                <w:color w:val="30A46C"/>
                <w:sz w:val="22"/>
              </w:rPr>
              <w:t>+2.5 pp</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94.5%</w:t>
            </w:r>
          </w:p>
        </w:tc>
        <w:tc>
          <w:tcPr>
            <w:tcW w:type="dxa" w:w="1728"/>
          </w:tcPr>
          <w:p>
            <w:r>
              <w:rPr>
                <w:rFonts w:ascii="Calibri" w:hAnsi="Calibri"/>
                <w:sz w:val="22"/>
              </w:rPr>
              <w:t>93.1%</w:t>
            </w:r>
          </w:p>
        </w:tc>
        <w:tc>
          <w:tcPr>
            <w:tcW w:type="dxa" w:w="1728"/>
          </w:tcPr>
          <w:p>
            <w:r>
              <w:rPr>
                <w:rFonts w:ascii="Calibri" w:hAnsi="Calibri"/>
                <w:b/>
                <w:color w:val="30A46C"/>
                <w:sz w:val="22"/>
              </w:rPr>
              <w:t>+1.4 pp</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95.1%</w:t>
            </w:r>
          </w:p>
        </w:tc>
        <w:tc>
          <w:tcPr>
            <w:tcW w:type="dxa" w:w="1728"/>
          </w:tcPr>
          <w:p>
            <w:r>
              <w:rPr>
                <w:rFonts w:ascii="Calibri" w:hAnsi="Calibri"/>
                <w:sz w:val="22"/>
              </w:rPr>
              <w:t>91.4%</w:t>
            </w:r>
          </w:p>
        </w:tc>
        <w:tc>
          <w:tcPr>
            <w:tcW w:type="dxa" w:w="1728"/>
          </w:tcPr>
          <w:p>
            <w:r>
              <w:rPr>
                <w:rFonts w:ascii="Calibri" w:hAnsi="Calibri"/>
                <w:b/>
                <w:color w:val="30A46C"/>
                <w:sz w:val="22"/>
              </w:rPr>
              <w:t>+3.7 pp</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89.2%</w:t>
            </w:r>
          </w:p>
        </w:tc>
        <w:tc>
          <w:tcPr>
            <w:tcW w:type="dxa" w:w="1728"/>
          </w:tcPr>
          <w:p>
            <w:r>
              <w:rPr>
                <w:rFonts w:ascii="Calibri" w:hAnsi="Calibri"/>
                <w:sz w:val="22"/>
              </w:rPr>
              <w:t>86.5%</w:t>
            </w:r>
          </w:p>
        </w:tc>
        <w:tc>
          <w:tcPr>
            <w:tcW w:type="dxa" w:w="1728"/>
          </w:tcPr>
          <w:p>
            <w:r>
              <w:rPr>
                <w:rFonts w:ascii="Calibri" w:hAnsi="Calibri"/>
                <w:b/>
                <w:color w:val="30A46C"/>
                <w:sz w:val="22"/>
              </w:rPr>
              <w:t>+2.7 pp</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MPC has beaten EPS consensus in 7 of the last 8 quarters (the lone miss in Q3 2025 was driven by a softer capture rate of ~90%), and has beaten utilization consensus in all 8 of the last 8 quarters — a remarkably consistent track record of operational outperformance that sets a high bar for the market's reaction to any in-line print.</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(May 5, 2026), but management's tone was explicitly constructive — the macro backdrop was described as "unprecedented" and "extremely constructive," and the new $5B buyback authorization signals confidence in sustained cash generation. No post-earnings 8-K or conference has changed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Utilization</w:t>
            </w:r>
          </w:p>
        </w:tc>
        <w:tc>
          <w:tcPr>
            <w:tcW w:type="dxa" w:w="1728"/>
          </w:tcPr>
          <w:p>
            <w:r>
              <w:rPr>
                <w:rFonts w:ascii="Calibri" w:hAnsi="Calibri"/>
                <w:sz w:val="22"/>
              </w:rPr>
              <w:t>~94%</w:t>
            </w:r>
          </w:p>
        </w:tc>
        <w:tc>
          <w:tcPr>
            <w:tcW w:type="dxa" w:w="1728"/>
          </w:tcPr>
          <w:p>
            <w:r>
              <w:rPr>
                <w:rFonts w:ascii="Calibri" w:hAnsi="Calibri"/>
                <w:sz w:val="22"/>
              </w:rPr>
              <w:t>—</w:t>
            </w:r>
          </w:p>
        </w:tc>
        <w:tc>
          <w:tcPr>
            <w:tcW w:type="dxa" w:w="1728"/>
          </w:tcPr>
          <w:p>
            <w:r>
              <w:rPr>
                <w:rFonts w:ascii="Calibri" w:hAnsi="Calibri"/>
                <w:sz w:val="22"/>
              </w:rPr>
              <w:t>95.0%</w:t>
            </w:r>
          </w:p>
        </w:tc>
        <w:tc>
          <w:tcPr>
            <w:tcW w:type="dxa" w:w="1728"/>
          </w:tcPr>
          <w:p>
            <w:r>
              <w:rPr>
                <w:rFonts w:ascii="Calibri" w:hAnsi="Calibri"/>
                <w:sz w:val="22"/>
              </w:rPr>
              <w:t>Consensus sits ~1 pp above guidance midpoint; management noted proactive maintenance front-loading in Q1 to enable strong Q2 run</w:t>
            </w:r>
          </w:p>
        </w:tc>
      </w:tr>
      <w:tr>
        <w:tc>
          <w:tcPr>
            <w:tcW w:type="dxa" w:w="1728"/>
          </w:tcPr>
          <w:p>
            <w:r>
              <w:rPr>
                <w:rFonts w:ascii="Calibri" w:hAnsi="Calibri"/>
                <w:sz w:val="22"/>
              </w:rPr>
              <w:t>FY2026 Refining Turnaround Costs</w:t>
            </w:r>
          </w:p>
        </w:tc>
        <w:tc>
          <w:tcPr>
            <w:tcW w:type="dxa" w:w="1728"/>
          </w:tcPr>
          <w:p>
            <w:r>
              <w:rPr>
                <w:rFonts w:ascii="Calibri" w:hAnsi="Calibri"/>
                <w:sz w:val="22"/>
              </w:rPr>
              <w:t>$1.350B (unchanged)</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~40% of full-year turnaround activity completed in Q1; Q2 expected to be a clean run</w:t>
            </w:r>
          </w:p>
        </w:tc>
      </w:tr>
      <w:tr>
        <w:tc>
          <w:tcPr>
            <w:tcW w:type="dxa" w:w="1728"/>
          </w:tcPr>
          <w:p>
            <w:r>
              <w:rPr>
                <w:rFonts w:ascii="Calibri" w:hAnsi="Calibri"/>
                <w:sz w:val="22"/>
              </w:rPr>
              <w:t>FY2026 Refining CapEx</w:t>
            </w:r>
          </w:p>
        </w:tc>
        <w:tc>
          <w:tcPr>
            <w:tcW w:type="dxa" w:w="1728"/>
          </w:tcPr>
          <w:p>
            <w:r>
              <w:rPr>
                <w:rFonts w:ascii="Calibri" w:hAnsi="Calibri"/>
                <w:sz w:val="22"/>
              </w:rPr>
              <w:t>~$700M (value-enhancing); ~20% below 2025</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further reductions guided for 2027–2028</w:t>
            </w:r>
          </w:p>
        </w:tc>
      </w:tr>
      <w:tr>
        <w:tc>
          <w:tcPr>
            <w:tcW w:type="dxa" w:w="1728"/>
          </w:tcPr>
          <w:p>
            <w:r>
              <w:rPr>
                <w:rFonts w:ascii="Calibri" w:hAnsi="Calibri"/>
                <w:sz w:val="22"/>
              </w:rPr>
              <w:t>MPLX Distribution Growth</w:t>
            </w:r>
          </w:p>
        </w:tc>
        <w:tc>
          <w:tcPr>
            <w:tcW w:type="dxa" w:w="1728"/>
          </w:tcPr>
          <w:p>
            <w:r>
              <w:rPr>
                <w:rFonts w:ascii="Calibri" w:hAnsi="Calibri"/>
                <w:sz w:val="22"/>
              </w:rPr>
              <w:t>12.5% for next 2 years; underpinned by mid-single-digit EBITDA growth</w:t>
            </w:r>
          </w:p>
        </w:tc>
        <w:tc>
          <w:tcPr>
            <w:tcW w:type="dxa" w:w="1728"/>
          </w:tcPr>
          <w:p>
            <w:r>
              <w:rPr>
                <w:rFonts w:ascii="Calibri" w:hAnsi="Calibri"/>
                <w:sz w:val="22"/>
              </w:rPr>
              <w:t>—</w:t>
            </w:r>
          </w:p>
        </w:tc>
        <w:tc>
          <w:tcPr>
            <w:tcW w:type="dxa" w:w="1728"/>
          </w:tcPr>
          <w:p>
            <w:r>
              <w:rPr>
                <w:rFonts w:ascii="Calibri" w:hAnsi="Calibri"/>
                <w:sz w:val="22"/>
              </w:rPr>
              <w:t>N/A — MPLX-level metric</w:t>
            </w:r>
          </w:p>
        </w:tc>
        <w:tc>
          <w:tcPr>
            <w:tcW w:type="dxa" w:w="1728"/>
          </w:tcPr>
          <w:p>
            <w:r>
              <w:rPr>
                <w:rFonts w:ascii="Calibri" w:hAnsi="Calibri"/>
                <w:sz w:val="22"/>
              </w:rPr>
              <w:t>Unchanged; distributions expected to exceed MPC dividend + standalone capex by 2026</w:t>
            </w:r>
          </w:p>
        </w:tc>
      </w:tr>
      <w:tr>
        <w:tc>
          <w:tcPr>
            <w:tcW w:type="dxa" w:w="1728"/>
          </w:tcPr>
          <w:p>
            <w:r>
              <w:rPr>
                <w:rFonts w:ascii="Calibri" w:hAnsi="Calibri"/>
                <w:sz w:val="22"/>
              </w:rPr>
              <w:t>Share Repurchase Authorization</w:t>
            </w:r>
          </w:p>
        </w:tc>
        <w:tc>
          <w:tcPr>
            <w:tcW w:type="dxa" w:w="1728"/>
          </w:tcPr>
          <w:p>
            <w:r>
              <w:rPr>
                <w:rFonts w:ascii="Calibri" w:hAnsi="Calibri"/>
                <w:sz w:val="22"/>
              </w:rPr>
              <w:t>New $5B authorization announced May 5,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Incremental $5B authorization; management signaled favorable macro could accelerate buyback pace through year-end</w:t>
            </w:r>
          </w:p>
        </w:tc>
      </w:tr>
      <w:tr>
        <w:tc>
          <w:tcPr>
            <w:tcW w:type="dxa" w:w="1728"/>
          </w:tcPr>
          <w:p>
            <w:r>
              <w:rPr>
                <w:rFonts w:ascii="Calibri" w:hAnsi="Calibri"/>
                <w:sz w:val="22"/>
              </w:rPr>
              <w:t>Renewable Diesel Utilization (Q2 2026)</w:t>
            </w:r>
          </w:p>
        </w:tc>
        <w:tc>
          <w:tcPr>
            <w:tcW w:type="dxa" w:w="1728"/>
          </w:tcPr>
          <w:p>
            <w:r>
              <w:rPr>
                <w:rFonts w:ascii="Calibri" w:hAnsi="Calibri"/>
                <w:sz w:val="22"/>
              </w:rPr>
              <w:t>Low 90% range (post-Martinez turnaround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Martinez turnaround completed in Q1; Q2 expected to ramp back to normal rates</w:t>
            </w:r>
          </w:p>
        </w:tc>
      </w:tr>
    </w:tbl>
    <w:p>
      <w:r>
        <w:rPr>
          <w:rFonts w:ascii="Calibri" w:hAnsi="Calibri"/>
          <w:color w:val="525866"/>
          <w:sz w:val="22"/>
        </w:rPr>
        <w:t>Source: MPC Q1 2026 Earnings Call Transcript (May 5,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surged dramatically since the Q1 2026 print — Q2 2026 EPS consensus has risen ~24% and FY2026 EPS consensus has risen ~45% since the post-earnings baseline — tracking well above the macro tailwind from the Iran conflict. The gap between current consensus and initial guidance is almost entirely macro-driven (no guidance raise), suggesting estimates are tracking the environment rather than diverging from management's operational outlook.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$11.41</w:t>
            </w:r>
          </w:p>
        </w:tc>
        <w:tc>
          <w:tcPr>
            <w:tcW w:type="dxa" w:w="1080"/>
          </w:tcPr>
          <w:p>
            <w:r>
              <w:rPr>
                <w:rFonts w:ascii="Calibri" w:hAnsi="Calibri"/>
                <w:sz w:val="22"/>
              </w:rPr>
              <w:t>$14.11</w:t>
            </w:r>
          </w:p>
        </w:tc>
        <w:tc>
          <w:tcPr>
            <w:tcW w:type="dxa" w:w="1080"/>
          </w:tcPr>
          <w:p>
            <w:r>
              <w:rPr>
                <w:rFonts w:ascii="Calibri" w:hAnsi="Calibri"/>
                <w:b/>
                <w:color w:val="30A46C"/>
                <w:sz w:val="22"/>
              </w:rPr>
              <w:t>+23.7%</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$28.10</w:t>
            </w:r>
          </w:p>
        </w:tc>
        <w:tc>
          <w:tcPr>
            <w:tcW w:type="dxa" w:w="1080"/>
          </w:tcPr>
          <w:p>
            <w:r>
              <w:rPr>
                <w:rFonts w:ascii="Calibri" w:hAnsi="Calibri"/>
                <w:sz w:val="22"/>
              </w:rPr>
              <w:t>$40.78</w:t>
            </w:r>
          </w:p>
        </w:tc>
        <w:tc>
          <w:tcPr>
            <w:tcW w:type="dxa" w:w="1080"/>
          </w:tcPr>
          <w:p>
            <w:r>
              <w:rPr>
                <w:rFonts w:ascii="Calibri" w:hAnsi="Calibri"/>
                <w:b/>
                <w:color w:val="30A46C"/>
                <w:sz w:val="22"/>
              </w:rPr>
              <w:t>+45.1%</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Crude Oil Capacity Utilization (Q2 2026)</w:t>
            </w:r>
          </w:p>
        </w:tc>
        <w:tc>
          <w:tcPr>
            <w:tcW w:type="dxa" w:w="1080"/>
          </w:tcPr>
          <w:p>
            <w:r>
              <w:rPr>
                <w:rFonts w:ascii="Calibri" w:hAnsi="Calibri"/>
                <w:sz w:val="22"/>
              </w:rPr>
              <w:t>93.6%</w:t>
            </w:r>
          </w:p>
        </w:tc>
        <w:tc>
          <w:tcPr>
            <w:tcW w:type="dxa" w:w="1080"/>
          </w:tcPr>
          <w:p>
            <w:r>
              <w:rPr>
                <w:rFonts w:ascii="Calibri" w:hAnsi="Calibri"/>
                <w:sz w:val="22"/>
              </w:rPr>
              <w:t>95.0%</w:t>
            </w:r>
          </w:p>
        </w:tc>
        <w:tc>
          <w:tcPr>
            <w:tcW w:type="dxa" w:w="1080"/>
          </w:tcPr>
          <w:p>
            <w:r>
              <w:rPr>
                <w:rFonts w:ascii="Calibri" w:hAnsi="Calibri"/>
                <w:b/>
                <w:color w:val="30A46C"/>
                <w:sz w:val="22"/>
              </w:rPr>
              <w:t>+1.5 pp</w:t>
            </w:r>
          </w:p>
        </w:tc>
        <w:tc>
          <w:tcPr>
            <w:tcW w:type="dxa" w:w="1080"/>
          </w:tcPr>
          <w:p>
            <w:r>
              <w:rPr>
                <w:rFonts w:ascii="Calibri" w:hAnsi="Calibri"/>
                <w:sz w:val="22"/>
              </w:rPr>
              <w:t>~94%</w:t>
            </w:r>
          </w:p>
        </w:tc>
        <w:tc>
          <w:tcPr>
            <w:tcW w:type="dxa" w:w="1080"/>
          </w:tcPr>
          <w:p>
            <w:r>
              <w:rPr>
                <w:rFonts w:ascii="Calibri" w:hAnsi="Calibri"/>
                <w:sz w:val="22"/>
              </w:rPr>
              <w:t>~94% (unchanged)</w:t>
            </w:r>
          </w:p>
        </w:tc>
        <w:tc>
          <w:tcPr>
            <w:tcW w:type="dxa" w:w="1080"/>
          </w:tcPr>
          <w:p>
            <w:r>
              <w:rPr>
                <w:rFonts w:ascii="Calibri" w:hAnsi="Calibri"/>
                <w:sz w:val="22"/>
              </w:rPr>
              <w:t>Unchanged</w:t>
            </w:r>
          </w:p>
        </w:tc>
        <w:tc>
          <w:tcPr>
            <w:tcW w:type="dxa" w:w="1080"/>
          </w:tcPr>
          <w:p>
            <w:r>
              <w:rPr>
                <w:rFonts w:ascii="Calibri" w:hAnsi="Calibri"/>
                <w:sz w:val="22"/>
              </w:rPr>
              <w:t>+1.0 pp above guidance</w:t>
            </w:r>
          </w:p>
        </w:tc>
      </w:tr>
      <w:tr>
        <w:tc>
          <w:tcPr>
            <w:tcW w:type="dxa" w:w="1080"/>
          </w:tcPr>
          <w:p>
            <w:r>
              <w:rPr>
                <w:rFonts w:ascii="Calibri" w:hAnsi="Calibri"/>
                <w:sz w:val="22"/>
              </w:rPr>
              <w:t>Adj. EBITDA — Refining &amp; Marketing (Q2 2026)</w:t>
            </w:r>
          </w:p>
        </w:tc>
        <w:tc>
          <w:tcPr>
            <w:tcW w:type="dxa" w:w="1080"/>
          </w:tcPr>
          <w:p>
            <w:r>
              <w:rPr>
                <w:rFonts w:ascii="Calibri" w:hAnsi="Calibri"/>
                <w:sz w:val="22"/>
              </w:rPr>
              <w:t>$4.29B</w:t>
            </w:r>
          </w:p>
        </w:tc>
        <w:tc>
          <w:tcPr>
            <w:tcW w:type="dxa" w:w="1080"/>
          </w:tcPr>
          <w:p>
            <w:r>
              <w:rPr>
                <w:rFonts w:ascii="Calibri" w:hAnsi="Calibri"/>
                <w:sz w:val="22"/>
              </w:rPr>
              <w:t>$5.46B</w:t>
            </w:r>
          </w:p>
        </w:tc>
        <w:tc>
          <w:tcPr>
            <w:tcW w:type="dxa" w:w="1080"/>
          </w:tcPr>
          <w:p>
            <w:r>
              <w:rPr>
                <w:rFonts w:ascii="Calibri" w:hAnsi="Calibri"/>
                <w:b/>
                <w:color w:val="30A46C"/>
                <w:sz w:val="22"/>
              </w:rPr>
              <w:t>+27.2%</w:t>
            </w:r>
          </w:p>
        </w:tc>
        <w:tc>
          <w:tcPr>
            <w:tcW w:type="dxa" w:w="1080"/>
          </w:tcPr>
          <w:p>
            <w:r>
              <w:rPr>
                <w:rFonts w:ascii="Calibri" w:hAnsi="Calibri"/>
                <w:sz w:val="22"/>
              </w:rPr>
              <w:t>No specific EBITDA guidance</w:t>
            </w:r>
          </w:p>
        </w:tc>
        <w:tc>
          <w:tcPr>
            <w:tcW w:type="dxa" w:w="1080"/>
          </w:tcPr>
          <w:p>
            <w:r>
              <w:rPr>
                <w:rFonts w:ascii="Calibri" w:hAnsi="Calibri"/>
                <w:sz w:val="22"/>
              </w:rPr>
              <w:t>No specific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Refining &amp; Marketing (FY2026)</w:t>
            </w:r>
          </w:p>
        </w:tc>
        <w:tc>
          <w:tcPr>
            <w:tcW w:type="dxa" w:w="1080"/>
          </w:tcPr>
          <w:p>
            <w:r>
              <w:rPr>
                <w:rFonts w:ascii="Calibri" w:hAnsi="Calibri"/>
                <w:sz w:val="22"/>
              </w:rPr>
              <w:t>$11.07B</w:t>
            </w:r>
          </w:p>
        </w:tc>
        <w:tc>
          <w:tcPr>
            <w:tcW w:type="dxa" w:w="1080"/>
          </w:tcPr>
          <w:p>
            <w:r>
              <w:rPr>
                <w:rFonts w:ascii="Calibri" w:hAnsi="Calibri"/>
                <w:sz w:val="22"/>
              </w:rPr>
              <w:t>$14.73B</w:t>
            </w:r>
          </w:p>
        </w:tc>
        <w:tc>
          <w:tcPr>
            <w:tcW w:type="dxa" w:w="1080"/>
          </w:tcPr>
          <w:p>
            <w:r>
              <w:rPr>
                <w:rFonts w:ascii="Calibri" w:hAnsi="Calibri"/>
                <w:b/>
                <w:color w:val="30A46C"/>
                <w:sz w:val="22"/>
              </w:rPr>
              <w:t>+33.1%</w:t>
            </w:r>
          </w:p>
        </w:tc>
        <w:tc>
          <w:tcPr>
            <w:tcW w:type="dxa" w:w="1080"/>
          </w:tcPr>
          <w:p>
            <w:r>
              <w:rPr>
                <w:rFonts w:ascii="Calibri" w:hAnsi="Calibri"/>
                <w:sz w:val="22"/>
              </w:rPr>
              <w:t>No specific EBITDA guidance</w:t>
            </w:r>
          </w:p>
        </w:tc>
        <w:tc>
          <w:tcPr>
            <w:tcW w:type="dxa" w:w="1080"/>
          </w:tcPr>
          <w:p>
            <w:r>
              <w:rPr>
                <w:rFonts w:ascii="Calibri" w:hAnsi="Calibri"/>
                <w:sz w:val="22"/>
              </w:rPr>
              <w:t>No specific EBITDA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revision trajectory is almost entirely macro-driven: the Iran conflict (beginning late Q1 2026) has pushed crack spreads to multi-year highs, and the consensus has chased the environment upward. MPC has not issued formal EPS or EBITDA guidance, so there is no guidance-vs.-estimate divergence to flag — the risk is whether the macro environment (crack spreads, crude differentials) has held at the levels implied by current consensus through the quarter.</w:t>
      </w:r>
    </w:p>
    <w:p>
      <w:r>
        <w:rPr>
          <w:rFonts w:ascii="Calibri" w:hAnsi="Calibri"/>
          <w:color w:val="525866"/>
          <w:sz w:val="22"/>
        </w:rPr>
        <w:t>Source: Visible Alpha Consensus and Actuals Data. Post-earnings baseline as of approximately May 12, 2026 (5 trading days after May 5,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MPC has dramatically outperformed both XLE and the S&amp;P 500 since the Q1 2026 earnings date (May 5, 2026), driven almost entirely by the macro tailwind from the Iran conflict and the associated surge in crack spreads — not multiple expansion. The stock is up ~18% since earnings vs. XLE flat-to-slightly-up and SPY +5%, suggesting the market has priced in a strong Q2 but not yet a blowout.</w:t>
      </w:r>
    </w:p>
    <w:p>
      <w:r>
        <w:rPr>
          <w:rFonts w:ascii="Calibri" w:hAnsi="Calibri"/>
          <w:color w:val="525866"/>
          <w:sz w:val="22"/>
        </w:rPr>
        <w:t>Chart: MPC vs. XLE vs. SPY — Indexed to 100 at May 5, 2026 (Q1 2026 Earnings Date) through August 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MPC (Indexed)</w:t>
            </w:r>
          </w:p>
        </w:tc>
        <w:tc>
          <w:tcPr>
            <w:tcW w:type="dxa" w:w="2160"/>
            <w:shd w:val="clear" w:color="auto" w:fill="3B4259"/>
          </w:tcPr>
          <w:p>
            <w:r>
              <w:rPr>
                <w:rFonts w:ascii="Calibri" w:hAnsi="Calibri"/>
                <w:b/>
                <w:color w:val="FFFFFF"/>
                <w:sz w:val="22"/>
              </w:rPr>
              <w:t>XLE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95.5</w:t>
            </w:r>
          </w:p>
        </w:tc>
        <w:tc>
          <w:tcPr>
            <w:tcW w:type="dxa" w:w="2160"/>
          </w:tcPr>
          <w:p>
            <w:r>
              <w:rPr>
                <w:rFonts w:ascii="Calibri" w:hAnsi="Calibri"/>
                <w:sz w:val="22"/>
              </w:rPr>
              <w:t>94.7</w:t>
            </w:r>
          </w:p>
        </w:tc>
        <w:tc>
          <w:tcPr>
            <w:tcW w:type="dxa" w:w="2160"/>
          </w:tcPr>
          <w:p>
            <w:r>
              <w:rPr>
                <w:rFonts w:ascii="Calibri" w:hAnsi="Calibri"/>
                <w:sz w:val="22"/>
              </w:rPr>
              <w:t>104.5</w:t>
            </w:r>
          </w:p>
        </w:tc>
      </w:tr>
      <w:tr>
        <w:tc>
          <w:tcPr>
            <w:tcW w:type="dxa" w:w="2160"/>
          </w:tcPr>
          <w:p>
            <w:r>
              <w:rPr>
                <w:rFonts w:ascii="Calibri" w:hAnsi="Calibri"/>
                <w:sz w:val="22"/>
              </w:rPr>
              <w:t>June 30, 2026</w:t>
            </w:r>
          </w:p>
        </w:tc>
        <w:tc>
          <w:tcPr>
            <w:tcW w:type="dxa" w:w="2160"/>
          </w:tcPr>
          <w:p>
            <w:r>
              <w:rPr>
                <w:rFonts w:ascii="Calibri" w:hAnsi="Calibri"/>
                <w:sz w:val="22"/>
              </w:rPr>
              <w:t>98.1</w:t>
            </w:r>
          </w:p>
        </w:tc>
        <w:tc>
          <w:tcPr>
            <w:tcW w:type="dxa" w:w="2160"/>
          </w:tcPr>
          <w:p>
            <w:r>
              <w:rPr>
                <w:rFonts w:ascii="Calibri" w:hAnsi="Calibri"/>
                <w:sz w:val="22"/>
              </w:rPr>
              <w:t>89.3</w:t>
            </w:r>
          </w:p>
        </w:tc>
        <w:tc>
          <w:tcPr>
            <w:tcW w:type="dxa" w:w="2160"/>
          </w:tcPr>
          <w:p>
            <w:r>
              <w:rPr>
                <w:rFonts w:ascii="Calibri" w:hAnsi="Calibri"/>
                <w:sz w:val="22"/>
              </w:rPr>
              <w:t>103.2</w:t>
            </w:r>
          </w:p>
        </w:tc>
      </w:tr>
      <w:tr>
        <w:tc>
          <w:tcPr>
            <w:tcW w:type="dxa" w:w="2160"/>
          </w:tcPr>
          <w:p>
            <w:r>
              <w:rPr>
                <w:rFonts w:ascii="Calibri" w:hAnsi="Calibri"/>
                <w:sz w:val="22"/>
              </w:rPr>
              <w:t>July 17, 2026</w:t>
            </w:r>
          </w:p>
        </w:tc>
        <w:tc>
          <w:tcPr>
            <w:tcW w:type="dxa" w:w="2160"/>
          </w:tcPr>
          <w:p>
            <w:r>
              <w:rPr>
                <w:rFonts w:ascii="Calibri" w:hAnsi="Calibri"/>
                <w:sz w:val="22"/>
              </w:rPr>
              <w:t>120.0</w:t>
            </w:r>
          </w:p>
        </w:tc>
        <w:tc>
          <w:tcPr>
            <w:tcW w:type="dxa" w:w="2160"/>
          </w:tcPr>
          <w:p>
            <w:r>
              <w:rPr>
                <w:rFonts w:ascii="Calibri" w:hAnsi="Calibri"/>
                <w:sz w:val="22"/>
              </w:rPr>
              <w:t>97.0</w:t>
            </w:r>
          </w:p>
        </w:tc>
        <w:tc>
          <w:tcPr>
            <w:tcW w:type="dxa" w:w="2160"/>
          </w:tcPr>
          <w:p>
            <w:r>
              <w:rPr>
                <w:rFonts w:ascii="Calibri" w:hAnsi="Calibri"/>
                <w:sz w:val="22"/>
              </w:rPr>
              <w:t>102.7</w:t>
            </w:r>
          </w:p>
        </w:tc>
      </w:tr>
      <w:tr>
        <w:tc>
          <w:tcPr>
            <w:tcW w:type="dxa" w:w="2160"/>
          </w:tcPr>
          <w:p>
            <w:r>
              <w:rPr>
                <w:rFonts w:ascii="Calibri" w:hAnsi="Calibri"/>
                <w:sz w:val="22"/>
              </w:rPr>
              <w:t>July 31, 2026</w:t>
            </w:r>
          </w:p>
        </w:tc>
        <w:tc>
          <w:tcPr>
            <w:tcW w:type="dxa" w:w="2160"/>
          </w:tcPr>
          <w:p>
            <w:r>
              <w:rPr>
                <w:rFonts w:ascii="Calibri" w:hAnsi="Calibri"/>
                <w:sz w:val="22"/>
              </w:rPr>
              <w:t>121.5</w:t>
            </w:r>
          </w:p>
        </w:tc>
        <w:tc>
          <w:tcPr>
            <w:tcW w:type="dxa" w:w="2160"/>
          </w:tcPr>
          <w:p>
            <w:r>
              <w:rPr>
                <w:rFonts w:ascii="Calibri" w:hAnsi="Calibri"/>
                <w:sz w:val="22"/>
              </w:rPr>
              <w:t>100.2</w:t>
            </w:r>
          </w:p>
        </w:tc>
        <w:tc>
          <w:tcPr>
            <w:tcW w:type="dxa" w:w="2160"/>
          </w:tcPr>
          <w:p>
            <w:r>
              <w:rPr>
                <w:rFonts w:ascii="Calibri" w:hAnsi="Calibri"/>
                <w:sz w:val="22"/>
              </w:rPr>
              <w:t>103.2</w:t>
            </w:r>
          </w:p>
        </w:tc>
      </w:tr>
      <w:tr>
        <w:tc>
          <w:tcPr>
            <w:tcW w:type="dxa" w:w="2160"/>
          </w:tcPr>
          <w:p>
            <w:r>
              <w:rPr>
                <w:rFonts w:ascii="Calibri" w:hAnsi="Calibri"/>
                <w:sz w:val="22"/>
              </w:rPr>
              <w:t>August 3, 2026 (Day Before Earnings)</w:t>
            </w:r>
          </w:p>
        </w:tc>
        <w:tc>
          <w:tcPr>
            <w:tcW w:type="dxa" w:w="2160"/>
          </w:tcPr>
          <w:p>
            <w:r>
              <w:rPr>
                <w:rFonts w:ascii="Calibri" w:hAnsi="Calibri"/>
                <w:sz w:val="22"/>
              </w:rPr>
              <w:t>117.9</w:t>
            </w:r>
          </w:p>
        </w:tc>
        <w:tc>
          <w:tcPr>
            <w:tcW w:type="dxa" w:w="2160"/>
          </w:tcPr>
          <w:p>
            <w:r>
              <w:rPr>
                <w:rFonts w:ascii="Calibri" w:hAnsi="Calibri"/>
                <w:sz w:val="22"/>
              </w:rPr>
              <w:t>98.9</w:t>
            </w:r>
          </w:p>
        </w:tc>
        <w:tc>
          <w:tcPr>
            <w:tcW w:type="dxa" w:w="2160"/>
          </w:tcPr>
          <w:p>
            <w:r>
              <w:rPr>
                <w:rFonts w:ascii="Calibri" w:hAnsi="Calibri"/>
                <w:sz w:val="22"/>
              </w:rPr>
              <w:t>104.7</w:t>
            </w:r>
          </w:p>
        </w:tc>
      </w:tr>
    </w:tbl>
    <w:p>
      <w:r>
        <w:rPr>
          <w:rFonts w:ascii="Calibri" w:hAnsi="Calibri"/>
          <w:color w:val="525866"/>
          <w:sz w:val="22"/>
        </w:rPr>
        <w:t>Key price levels: MPC closed at $260.51 on May 5 (earnings day), pulled back to a low of ~$242 in mid-May as the market digested the print, then rallied sharply from early July as the Iran conflict escalated and Brent crude crossed $100/bbl on July 23. MPC hit an intraday high of ~$319.76 on July 21 before pulling back modestly to $307.07 on August 3. The stock's outperformance vs. XLE (+18% vs. flat) reflects MPC's higher operating leverage to crack spreads relative to integrated majors in the ETF. The S&amp;P 500 (+4.7%) has been largely insulated from energy sector dynamics.</w:t>
      </w:r>
    </w:p>
    <w:p>
      <w:r>
        <w:rPr>
          <w:rFonts w:ascii="Calibri" w:hAnsi="Calibri"/>
          <w:color w:val="525866"/>
          <w:sz w:val="22"/>
        </w:rPr>
        <w:t>Material events since Q1 2026 earnings:</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new $5B share repurchase authorization announced.</w:t>
      </w:r>
    </w:p>
    <w:p>
      <w:pPr>
        <w:pStyle w:val="ListBullet"/>
        <w:ind w:left="360" w:hanging="360"/>
      </w:pPr>
      <w:r>
        <w:rPr>
          <w:rFonts w:ascii="Calibri" w:hAnsi="Calibri"/>
          <w:b/>
          <w:color w:val="525866"/>
          <w:sz w:val="22"/>
        </w:rPr>
        <w:t>June 16, 2026:</w:t>
      </w:r>
      <w:r>
        <w:rPr>
          <w:rFonts w:ascii="Calibri" w:hAnsi="Calibri"/>
          <w:color w:val="525866"/>
          <w:sz w:val="22"/>
        </w:rPr>
        <w:t xml:space="preserve"> MPC announced Q2 2026 results date of August 4, 2026.</w:t>
      </w:r>
    </w:p>
    <w:p>
      <w:pPr>
        <w:pStyle w:val="ListBullet"/>
        <w:ind w:left="360" w:hanging="360"/>
      </w:pPr>
      <w:r>
        <w:rPr>
          <w:rFonts w:ascii="Calibri" w:hAnsi="Calibri"/>
          <w:b/>
          <w:color w:val="525866"/>
          <w:sz w:val="22"/>
        </w:rPr>
        <w:t>June 29, 2026:</w:t>
      </w:r>
      <w:r>
        <w:rPr>
          <w:rFonts w:ascii="Calibri" w:hAnsi="Calibri"/>
          <w:color w:val="525866"/>
          <w:sz w:val="22"/>
        </w:rPr>
        <w:t xml:space="preserve"> MPC announced the passing of Director Abdulaziz F. Alkhayyal (8-K).</w:t>
      </w:r>
    </w:p>
    <w:p>
      <w:pPr>
        <w:pStyle w:val="ListBullet"/>
        <w:ind w:left="360" w:hanging="360"/>
      </w:pPr>
      <w:r>
        <w:rPr>
          <w:rFonts w:ascii="Calibri" w:hAnsi="Calibri"/>
          <w:b/>
          <w:color w:val="525866"/>
          <w:sz w:val="22"/>
        </w:rPr>
        <w:t>July 23, 2026:</w:t>
      </w:r>
      <w:r>
        <w:rPr>
          <w:rFonts w:ascii="Calibri" w:hAnsi="Calibri"/>
          <w:color w:val="525866"/>
          <w:sz w:val="22"/>
        </w:rPr>
        <w:t xml:space="preserve"> Brent crude crossed $100/bbl for the first time since late May after Houthi strikes on Saudi tankers opened a second chokepoint alongside Hormuz disruptions.</w:t>
      </w:r>
    </w:p>
    <w:p>
      <w:pPr>
        <w:pStyle w:val="ListBullet"/>
        <w:ind w:left="360" w:hanging="360"/>
      </w:pPr>
      <w:r>
        <w:rPr>
          <w:rFonts w:ascii="Calibri" w:hAnsi="Calibri"/>
          <w:b/>
          <w:color w:val="525866"/>
          <w:sz w:val="22"/>
        </w:rPr>
        <w:t>July 30–31, 2026:</w:t>
      </w:r>
      <w:r>
        <w:rPr>
          <w:rFonts w:ascii="Calibri" w:hAnsi="Calibri"/>
          <w:color w:val="525866"/>
          <w:sz w:val="22"/>
        </w:rPr>
        <w:t xml:space="preserve"> Peer refiners VLO and CVX reported record/near-record Q2 profits, confirming the macro tailwind.</w:t>
      </w:r>
    </w:p>
    <w:p>
      <w:r>
        <w:rPr>
          <w:rFonts w:ascii="Calibri" w:hAnsi="Calibri"/>
          <w:color w:val="525866"/>
          <w:sz w:val="22"/>
        </w:rPr>
        <w:t>Source: Stock Price Data (Yahoo Finance); MPC SEC filings; news sources as cited.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single most important development since Q1 2026 earnings is the escalation of the Iran conflict, which has taken ~6% of global refining capacity offline and driven crack spreads to multi-year highs — directly benefiting MPC's Q2 results. Peer prints from VLO and CVX have already confirmed the macro tailwind is real and large.</w:t>
      </w:r>
    </w:p>
    <w:p>
      <w:pPr>
        <w:pStyle w:val="ListBullet"/>
        <w:ind w:left="360" w:hanging="360"/>
      </w:pPr>
      <w:r>
        <w:rPr>
          <w:rFonts w:ascii="Calibri" w:hAnsi="Calibri"/>
          <w:b/>
          <w:color w:val="525866"/>
          <w:sz w:val="22"/>
        </w:rPr>
        <w:t>July 30–31, 2026 — Peer Refiner Blowout Earnings (VLO, CVX, XOM):</w:t>
      </w:r>
      <w:r>
        <w:rPr>
          <w:rFonts w:ascii="Calibri" w:hAnsi="Calibri"/>
          <w:color w:val="525866"/>
          <w:sz w:val="22"/>
        </w:rPr>
        <w:t xml:space="preserve"> Valero reported Q2 adjusted EPS of $12.54 vs. consensus of $10.12 (+24% beat); refining margin per barrel nearly doubled YoY to $23.62; refining segment EBITDA tripled to $4.4B. Chevron reported Q2 adjusted EPS of $6.06 vs. $5.65 consensus, with the bulk of the beat from Downstream; record US refinery throughput at &gt;97% utilization. ExxonMobil reported $14.7B in adjusted Q2 earnings (highest in 4 years), with adjusted refining profit of $4.1B. These prints directly de-risk MPC's Q2 and set a high bar for the reaction.</w:t>
      </w:r>
    </w:p>
    <w:p>
      <w:pPr>
        <w:pStyle w:val="ListBullet"/>
        <w:ind w:left="360" w:hanging="360"/>
      </w:pPr>
      <w:r>
        <w:rPr>
          <w:rFonts w:ascii="Calibri" w:hAnsi="Calibri"/>
          <w:b/>
          <w:color w:val="525866"/>
          <w:sz w:val="22"/>
        </w:rPr>
        <w:t>July 23, 2026 — Brent Crude Crosses $100/bbl:</w:t>
      </w:r>
      <w:r>
        <w:rPr>
          <w:rFonts w:ascii="Calibri" w:hAnsi="Calibri"/>
          <w:color w:val="525866"/>
          <w:sz w:val="22"/>
        </w:rPr>
        <w:t xml:space="preserve"> Houthi strikes on Saudi tankers in the Red Sea opened a second chokepoint alongside the Strait of Hormuz, driving Brent above $100/bbl for the first time since late May. This escalation is a direct tailwind for MPC's crack spreads and inland crude sourcing advantage.</w:t>
      </w:r>
    </w:p>
    <w:p>
      <w:pPr>
        <w:pStyle w:val="ListBullet"/>
        <w:ind w:left="360" w:hanging="360"/>
      </w:pPr>
      <w:r>
        <w:rPr>
          <w:rFonts w:ascii="Calibri" w:hAnsi="Calibri"/>
          <w:b/>
          <w:color w:val="525866"/>
          <w:sz w:val="22"/>
        </w:rPr>
        <w:t>July 27–29, 2026 — US-Iran Pause/Escalation Cycle:</w:t>
      </w:r>
      <w:r>
        <w:rPr>
          <w:rFonts w:ascii="Calibri" w:hAnsi="Calibri"/>
          <w:color w:val="525866"/>
          <w:sz w:val="22"/>
        </w:rPr>
        <w:t xml:space="preserve"> A brief pause in US-Iran hostilities on July 27 caused Brent to drop ~5% (XOM fell ~3% in premarket), but renewed strikes on July 29 reversed the move. The volatility underscores the binary risk around geopolitical resolution — the key wildcard for MPC's H2 2026 outlook.</w:t>
      </w:r>
    </w:p>
    <w:p>
      <w:pPr>
        <w:pStyle w:val="ListBullet"/>
        <w:ind w:left="360" w:hanging="360"/>
      </w:pPr>
      <w:r>
        <w:rPr>
          <w:rFonts w:ascii="Calibri" w:hAnsi="Calibri"/>
          <w:b/>
          <w:color w:val="525866"/>
          <w:sz w:val="22"/>
        </w:rPr>
        <w:t>July 27, 2026 — Baker Hughes Q2 Beat:</w:t>
      </w:r>
      <w:r>
        <w:rPr>
          <w:rFonts w:ascii="Calibri" w:hAnsi="Calibri"/>
          <w:color w:val="525866"/>
          <w:sz w:val="22"/>
        </w:rPr>
        <w:t xml:space="preserve"> BKR reported Q2 EPS of 64c vs. 50c consensus; IET orders of $7.1B vs. $3.6B expected. Raised full-year order guidance. Positive read-through for energy sector capex and demand durability.</w:t>
      </w:r>
    </w:p>
    <w:p>
      <w:pPr>
        <w:pStyle w:val="ListBullet"/>
        <w:ind w:left="360" w:hanging="360"/>
      </w:pPr>
      <w:r>
        <w:rPr>
          <w:rFonts w:ascii="Calibri" w:hAnsi="Calibri"/>
          <w:b/>
          <w:color w:val="525866"/>
          <w:sz w:val="22"/>
        </w:rPr>
        <w:t>July 22, 2026 — Kinder Morgan Q2 Beat:</w:t>
      </w:r>
      <w:r>
        <w:rPr>
          <w:rFonts w:ascii="Calibri" w:hAnsi="Calibri"/>
          <w:color w:val="525866"/>
          <w:sz w:val="22"/>
        </w:rPr>
        <w:t xml:space="preserve"> KMI beat Q2 profit estimates on higher natural gas volumes (47,886 BBtu/day vs. 44,818 BBtu/day YoY). Positive read-through for MPLX midstream volumes and distribution growth trajectory.</w:t>
      </w:r>
    </w:p>
    <w:p>
      <w:pPr>
        <w:pStyle w:val="ListBullet"/>
        <w:ind w:left="360" w:hanging="360"/>
      </w:pPr>
      <w:r>
        <w:rPr>
          <w:rFonts w:ascii="Calibri" w:hAnsi="Calibri"/>
          <w:b/>
          <w:color w:val="525866"/>
          <w:sz w:val="22"/>
        </w:rPr>
        <w:t>July 21, 2026 — Halliburton Q2 Miss on Margins:</w:t>
      </w:r>
      <w:r>
        <w:rPr>
          <w:rFonts w:ascii="Calibri" w:hAnsi="Calibri"/>
          <w:color w:val="525866"/>
          <w:sz w:val="22"/>
        </w:rPr>
        <w:t xml:space="preserve"> HAL reported Q2 EPS of 55c (in-line) but operating income missed; Middle East/Asia revenue fell 10% YoY due to the Iran conflict. Stock fell ~6%. Negative read-through for Middle East-exposed oilfield services, but limited direct impact on MPC given its US/Canada crude sourcing.</w:t>
      </w:r>
    </w:p>
    <w:p>
      <w:pPr>
        <w:pStyle w:val="ListBullet"/>
        <w:ind w:left="360" w:hanging="360"/>
      </w:pPr>
      <w:r>
        <w:rPr>
          <w:rFonts w:ascii="Calibri" w:hAnsi="Calibri"/>
          <w:b/>
          <w:color w:val="525866"/>
          <w:sz w:val="22"/>
        </w:rPr>
        <w:t>July 24, 2026 — SLB Q2 Beat:</w:t>
      </w:r>
      <w:r>
        <w:rPr>
          <w:rFonts w:ascii="Calibri" w:hAnsi="Calibri"/>
          <w:color w:val="525866"/>
          <w:sz w:val="22"/>
        </w:rPr>
        <w:t xml:space="preserve"> SLB reported Q2 EPS of 55c vs. 51c consensus; revenue of $8.97B vs. $8.67B. International growth offset Middle East declines. Stock rose ~11%. Positive read-through for global energy demand durability.</w:t>
      </w:r>
    </w:p>
    <w:p>
      <w:pPr>
        <w:pStyle w:val="ListBullet"/>
        <w:ind w:left="360" w:hanging="360"/>
      </w:pPr>
      <w:r>
        <w:rPr>
          <w:rFonts w:ascii="Calibri" w:hAnsi="Calibri"/>
          <w:b/>
          <w:color w:val="525866"/>
          <w:sz w:val="22"/>
        </w:rPr>
        <w:t>August 3, 2026 — Trump Criticizes Big Oil Profits:</w:t>
      </w:r>
      <w:r>
        <w:rPr>
          <w:rFonts w:ascii="Calibri" w:hAnsi="Calibri"/>
          <w:color w:val="525866"/>
          <w:sz w:val="22"/>
        </w:rPr>
        <w:t xml:space="preserve"> President Trump publicly accused Chevron and ExxonMobil of "making too much money" and demanded lower gasoline prices, citing voter frustration with gas prices averaging &gt;$4/gallon. This political risk is a potential headwind for the refining sector if it translates into regulatory action, though no specific policy has been announced. Implication: watch for management commentary on this topic during the Q2 call.</w:t>
      </w:r>
    </w:p>
    <w:p>
      <w:pPr>
        <w:pStyle w:val="ListBullet"/>
        <w:ind w:left="360" w:hanging="360"/>
      </w:pPr>
      <w:r>
        <w:rPr>
          <w:rFonts w:ascii="Calibri" w:hAnsi="Calibri"/>
          <w:b/>
          <w:color w:val="525866"/>
          <w:sz w:val="22"/>
        </w:rPr>
        <w:t>August 3, 2026 — ONEOK Boosts 2026 Guidance:</w:t>
      </w:r>
      <w:r>
        <w:rPr>
          <w:rFonts w:ascii="Calibri" w:hAnsi="Calibri"/>
          <w:color w:val="525866"/>
          <w:sz w:val="22"/>
        </w:rPr>
        <w:t xml:space="preserve"> OKE raised its 2026 financial guidance after Q2 results. Positive read-through for MPLX midstream growth and distribution trajectory.</w:t>
      </w:r>
    </w:p>
    <w:p>
      <w:pPr>
        <w:pStyle w:val="ListBullet"/>
        <w:ind w:left="360" w:hanging="360"/>
      </w:pPr>
      <w:r>
        <w:rPr>
          <w:rFonts w:ascii="Calibri" w:hAnsi="Calibri"/>
          <w:b/>
          <w:color w:val="525866"/>
          <w:sz w:val="22"/>
        </w:rPr>
        <w:t>June 29, 2026 — Director Passing:</w:t>
      </w:r>
      <w:r>
        <w:rPr>
          <w:rFonts w:ascii="Calibri" w:hAnsi="Calibri"/>
          <w:color w:val="525866"/>
          <w:sz w:val="22"/>
        </w:rPr>
        <w:t xml:space="preserve"> MPC announced the passing of Director Abdulaziz F. Alkhayyal (8-K filed June 29, 2026). No financial impact; governance note.</w:t>
      </w:r>
    </w:p>
    <w:p>
      <w:pPr>
        <w:pStyle w:val="ListBullet"/>
        <w:ind w:left="360" w:hanging="360"/>
      </w:pPr>
      <w:r>
        <w:rPr>
          <w:rFonts w:ascii="Calibri" w:hAnsi="Calibri"/>
          <w:b/>
          <w:color w:val="525866"/>
          <w:sz w:val="22"/>
        </w:rPr>
        <w:t>June 16, 2026 — Q2 Earnings Date Announced:</w:t>
      </w:r>
      <w:r>
        <w:rPr>
          <w:rFonts w:ascii="Calibri" w:hAnsi="Calibri"/>
          <w:color w:val="525866"/>
          <w:sz w:val="22"/>
        </w:rPr>
        <w:t xml:space="preserve"> MPC confirmed August 4, 2026 as the Q2 2026 results date.</w:t>
      </w:r>
    </w:p>
    <w:p>
      <w:pPr>
        <w:pStyle w:val="ListBullet"/>
        <w:ind w:left="360" w:hanging="360"/>
      </w:pPr>
      <w:r>
        <w:rPr>
          <w:rFonts w:ascii="Calibri" w:hAnsi="Calibri"/>
          <w:b/>
          <w:color w:val="525866"/>
          <w:sz w:val="22"/>
        </w:rPr>
        <w:t>August 1–3, 2026 — Global Oil Inventory Concerns:</w:t>
      </w:r>
      <w:r>
        <w:rPr>
          <w:rFonts w:ascii="Calibri" w:hAnsi="Calibri"/>
          <w:color w:val="525866"/>
          <w:sz w:val="22"/>
        </w:rPr>
        <w:t xml:space="preserve"> Bloomberg reported global crude stocks (commercial + SPR) have dropped at ~3.9 million barrels/day from early March to late May. ExxonMobil and Chevron warned that high fuel prices are likely to persist even if oil prices decline, as wars in Russia and the Middle East have left global refining capacity critically short. Positive structural backdrop for MPC's Q2 and H2 2026.</w:t>
      </w:r>
    </w:p>
    <w:p>
      <w:r>
        <w:br w:type="page"/>
      </w:r>
    </w:p>
    <w:p>
      <w:pPr>
        <w:pStyle w:val="Heading2"/>
      </w:pPr>
      <w:r>
        <w:rPr>
          <w:rFonts w:ascii="Calibri" w:hAnsi="Calibri"/>
          <w:b/>
          <w:color w:val="3B4259"/>
          <w:sz w:val="28"/>
        </w:rPr>
        <w:t>7. Peer Commentary Read-Throughs (Last 60 Days)</w:t>
      </w:r>
    </w:p>
    <w:p>
      <w:r>
        <w:rPr>
          <w:rFonts w:ascii="Calibri" w:hAnsi="Calibri"/>
          <w:b/>
          <w:color w:val="525866"/>
          <w:sz w:val="22"/>
        </w:rPr>
        <w:t xml:space="preserve">Key Takeaway: </w:t>
      </w:r>
      <w:r>
        <w:rPr>
          <w:rFonts w:ascii="Calibri" w:hAnsi="Calibri"/>
          <w:color w:val="525866"/>
          <w:sz w:val="22"/>
        </w:rPr>
        <w:t>All three major refining peers — VLO, PBF, and PSX — provided forward-looking commentary that is highly constructive for MPC's Q2 2026 print and H2 2026 outlook. The common themes are: (1) product inventories at multi-year lows globally, with restocking expected to sustain elevated margins well into 2027; (2) crude differentials improving as dislocated barrels compete for market share; (3) West Coast structurally short and constructive; and (4) Q3 2026 margins tracking ahead of Q2 2026 levels.</w:t>
      </w:r>
    </w:p>
    <w:p>
      <w:r>
        <w:rPr>
          <w:rFonts w:ascii="Calibri" w:hAnsi="Calibri"/>
          <w:b/>
          <w:color w:val="525866"/>
          <w:sz w:val="22"/>
        </w:rPr>
        <w:t xml:space="preserve">Note: </w:t>
      </w:r>
      <w:r>
        <w:rPr>
          <w:rFonts w:ascii="Calibri" w:hAnsi="Calibri"/>
          <w:color w:val="525866"/>
          <w:sz w:val="22"/>
        </w:rPr>
        <w:t>Only forward-looking commentary about Q2 2026 or beyond is included below. Retrospective commentary about peers' own completed quarters has been excluded.</w:t>
      </w:r>
    </w:p>
    <w:p>
      <w:pPr>
        <w:pStyle w:val="Heading3"/>
      </w:pPr>
      <w:r>
        <w:rPr>
          <w:rFonts w:ascii="Calibri" w:hAnsi="Calibri"/>
          <w:b/>
          <w:color w:val="3B4259"/>
          <w:sz w:val="24"/>
        </w:rPr>
        <w:t>Valero Energy (VLO) — Q2 2026 Earnings Call (July 30, 2026)</w:t>
      </w:r>
    </w:p>
    <w:p>
      <w:r>
        <w:rPr>
          <w:rFonts w:ascii="Calibri" w:hAnsi="Calibri"/>
          <w:color w:val="525866"/>
          <w:sz w:val="22"/>
        </w:rPr>
        <w:t>Forward-looking commentary about Q3 2026 and beyond:</w:t>
      </w:r>
    </w:p>
    <w:p>
      <w:pPr>
        <w:pStyle w:val="ListBullet"/>
        <w:ind w:left="360" w:hanging="360"/>
      </w:pPr>
      <w:r>
        <w:rPr>
          <w:rFonts w:ascii="Calibri" w:hAnsi="Calibri"/>
          <w:b/>
          <w:color w:val="525866"/>
          <w:sz w:val="22"/>
        </w:rPr>
        <w:t>Q3 2026 margins tracking ahead of Q2:</w:t>
      </w:r>
      <w:r>
        <w:rPr>
          <w:rFonts w:ascii="Calibri" w:hAnsi="Calibri"/>
          <w:color w:val="525866"/>
          <w:sz w:val="22"/>
        </w:rPr>
        <w:t xml:space="preserve"> VLO management stated that both margins and capture rates will be "constructive relative to the second quarter" for Q3 2026, with "an improvement in delivered crude costs relative to the benchmarks thus far" and the team successfully "purchasing several grades of crude at discounts to the benchmarks." MPC read-through: if VLO is seeing better crude costs and margins in Q3 vs. Q2, MPC's Q2 print (which is what we're previewing) likely benefited from the same environment, and H2 2026 guidance should be constructive.</w:t>
      </w:r>
    </w:p>
    <w:p>
      <w:pPr>
        <w:pStyle w:val="ListBullet"/>
        <w:ind w:left="360" w:hanging="360"/>
      </w:pPr>
      <w:r>
        <w:rPr>
          <w:rFonts w:ascii="Calibri" w:hAnsi="Calibri"/>
          <w:b/>
          <w:color w:val="525866"/>
          <w:sz w:val="22"/>
        </w:rPr>
        <w:t>Product inventories at historic lows — restocking to sustain margins:</w:t>
      </w:r>
      <w:r>
        <w:rPr>
          <w:rFonts w:ascii="Calibri" w:hAnsi="Calibri"/>
          <w:color w:val="525866"/>
          <w:sz w:val="22"/>
        </w:rPr>
        <w:t xml:space="preserve"> VLO reported that total light product inventories are "down about 150 million barrels from where they were to start the year" and approximately "130 million barrels below where they would normally be at this time of year." Even if current conflicts ended, consultant data suggests "global inventories remain below the five year average range through 2027." MPC read-through: the structural inventory deficit underpins elevated crack spreads for the duration of MPC's Q2 and into H2 2026.</w:t>
      </w:r>
    </w:p>
    <w:p>
      <w:pPr>
        <w:pStyle w:val="ListBullet"/>
        <w:ind w:left="360" w:hanging="360"/>
      </w:pPr>
      <w:r>
        <w:rPr>
          <w:rFonts w:ascii="Calibri" w:hAnsi="Calibri"/>
          <w:b/>
          <w:color w:val="525866"/>
          <w:sz w:val="22"/>
        </w:rPr>
        <w:t>Bullish long-term mid-cycle view:</w:t>
      </w:r>
      <w:r>
        <w:rPr>
          <w:rFonts w:ascii="Calibri" w:hAnsi="Calibri"/>
          <w:color w:val="525866"/>
          <w:sz w:val="22"/>
        </w:rPr>
        <w:t xml:space="preserve"> VLO expressed a "much more bullish view of a future midcycle than what you would calculate using historic margins," citing higher-cost hydro-skimming capacity setting crack spreads in Northwest Europe, rising carbon credit costs, and inflationary pressures on OpEx/CapEx. MPC read-through: supports a higher through-cycle earnings floor for all US refiners, including MPC.</w:t>
      </w:r>
    </w:p>
    <w:p>
      <w:pPr>
        <w:pStyle w:val="ListBullet"/>
        <w:ind w:left="360" w:hanging="360"/>
      </w:pPr>
      <w:r>
        <w:rPr>
          <w:rFonts w:ascii="Calibri" w:hAnsi="Calibri"/>
          <w:b/>
          <w:color w:val="525866"/>
          <w:sz w:val="22"/>
        </w:rPr>
        <w:t>Heavy sour crude differentials to widen:</w:t>
      </w:r>
      <w:r>
        <w:rPr>
          <w:rFonts w:ascii="Calibri" w:hAnsi="Calibri"/>
          <w:color w:val="525866"/>
          <w:sz w:val="22"/>
        </w:rPr>
        <w:t xml:space="preserve"> VLO flagged a "much more bullish outlook on crude quality discounts going forward compared to history, especially for heavy sour crude." MPC, which runs ~50% sour crude vs. peers at ~40%, is a direct beneficiary of wider heavy-light differentials.</w:t>
      </w:r>
    </w:p>
    <w:p>
      <w:pPr>
        <w:pStyle w:val="ListBullet"/>
        <w:ind w:left="360" w:hanging="360"/>
      </w:pPr>
      <w:r>
        <w:rPr>
          <w:rFonts w:ascii="Calibri" w:hAnsi="Calibri"/>
          <w:b/>
          <w:color w:val="525866"/>
          <w:sz w:val="22"/>
        </w:rPr>
        <w:t>West Coast constructive:</w:t>
      </w:r>
      <w:r>
        <w:rPr>
          <w:rFonts w:ascii="Calibri" w:hAnsi="Calibri"/>
          <w:color w:val="525866"/>
          <w:sz w:val="22"/>
        </w:rPr>
        <w:t xml:space="preserve"> VLO's Wilmington refinery is increasing processing of California domestic crude to "record levels" as the West Coast market is "pretty well supplied" with local crude but structurally short on refined products. MPC's West Coast assets benefit from the same structural product shortage.</w:t>
      </w:r>
    </w:p>
    <w:p>
      <w:pPr>
        <w:pStyle w:val="ListBullet"/>
        <w:ind w:left="360" w:hanging="360"/>
      </w:pPr>
      <w:r>
        <w:rPr>
          <w:rFonts w:ascii="Calibri" w:hAnsi="Calibri"/>
          <w:b/>
          <w:color w:val="525866"/>
          <w:sz w:val="22"/>
        </w:rPr>
        <w:t>Lighter industry turnaround season in fall 2026:</w:t>
      </w:r>
      <w:r>
        <w:rPr>
          <w:rFonts w:ascii="Calibri" w:hAnsi="Calibri"/>
          <w:color w:val="525866"/>
          <w:sz w:val="22"/>
        </w:rPr>
        <w:t xml:space="preserve"> Consultant data cited by VLO suggests a "little bit lighter turnaround season as we head into fall than is typical this year," which is a positive for industry-wide throughput and margins in Q3 2026.</w:t>
      </w:r>
    </w:p>
    <w:p>
      <w:pPr>
        <w:pStyle w:val="ListBullet"/>
        <w:ind w:left="360" w:hanging="360"/>
      </w:pPr>
      <w:r>
        <w:rPr>
          <w:rFonts w:ascii="Calibri" w:hAnsi="Calibri"/>
          <w:b/>
          <w:color w:val="525866"/>
          <w:sz w:val="22"/>
        </w:rPr>
        <w:t>Q3 2026 throughput guidance (VLO-specific, for context):</w:t>
      </w:r>
      <w:r>
        <w:rPr>
          <w:rFonts w:ascii="Calibri" w:hAnsi="Calibri"/>
          <w:color w:val="525866"/>
          <w:sz w:val="22"/>
        </w:rPr>
        <w:t xml:space="preserve"> Gulf Coast 1.78–1.83 Mbpd; Mid-Continent 460–480 Mbpd; West Coast 110–120 Mbpd; North Atlantic 450–470 Mbpd. Refining cash opex guided at ~$4.75/bbl.</w:t>
      </w:r>
    </w:p>
    <w:p>
      <w:pPr>
        <w:pStyle w:val="Heading3"/>
      </w:pPr>
      <w:r>
        <w:rPr>
          <w:rFonts w:ascii="Calibri" w:hAnsi="Calibri"/>
          <w:b/>
          <w:color w:val="3B4259"/>
          <w:sz w:val="24"/>
        </w:rPr>
        <w:t>PBF Energy (PBF) — Q2 2026 Earnings Call (July 30, 2026)</w:t>
      </w:r>
    </w:p>
    <w:p>
      <w:r>
        <w:rPr>
          <w:rFonts w:ascii="Calibri" w:hAnsi="Calibri"/>
          <w:color w:val="525866"/>
          <w:sz w:val="22"/>
        </w:rPr>
        <w:t>Forward-looking commentary about Q3 2026 and beyond:</w:t>
      </w:r>
    </w:p>
    <w:p>
      <w:pPr>
        <w:pStyle w:val="ListBullet"/>
        <w:ind w:left="360" w:hanging="360"/>
      </w:pPr>
      <w:r>
        <w:rPr>
          <w:rFonts w:ascii="Calibri" w:hAnsi="Calibri"/>
          <w:b/>
          <w:color w:val="525866"/>
          <w:sz w:val="22"/>
        </w:rPr>
        <w:t>Q3 2026 margins stronger than Q2:</w:t>
      </w:r>
      <w:r>
        <w:rPr>
          <w:rFonts w:ascii="Calibri" w:hAnsi="Calibri"/>
          <w:color w:val="525866"/>
          <w:sz w:val="22"/>
        </w:rPr>
        <w:t xml:space="preserve"> PBF CEO Matt Lucey stated that "it would certainly appear that the third quarter is stronger from a margin perspective than the second quarter. And we've been tracking a bit ahead." MPC read-through: if Q3 is already tracking ahead of Q2, the Q2 environment was already very strong — supportive of MPC's Q2 print.</w:t>
      </w:r>
    </w:p>
    <w:p>
      <w:pPr>
        <w:pStyle w:val="ListBullet"/>
        <w:ind w:left="360" w:hanging="360"/>
      </w:pPr>
      <w:r>
        <w:rPr>
          <w:rFonts w:ascii="Calibri" w:hAnsi="Calibri"/>
          <w:b/>
          <w:color w:val="525866"/>
          <w:sz w:val="22"/>
        </w:rPr>
        <w:t>Inventory restocking to sustain elevated margins well into 2027:</w:t>
      </w:r>
      <w:r>
        <w:rPr>
          <w:rFonts w:ascii="Calibri" w:hAnsi="Calibri"/>
          <w:color w:val="525866"/>
          <w:sz w:val="22"/>
        </w:rPr>
        <w:t xml:space="preserve"> PBF stated that "product inventories will be slow to rebuild and the restocking that ultimately must occur should provide a favorable backdrop for refining margins over the quarters to come." Lucey noted it could take "well into 2027" before inventories normalize under normal economic conditions. MPC read-through: the structural margin tailwind is durable, supporting MPC's H2 2026 and FY2027 earnings power.</w:t>
      </w:r>
    </w:p>
    <w:p>
      <w:pPr>
        <w:pStyle w:val="ListBullet"/>
        <w:ind w:left="360" w:hanging="360"/>
      </w:pPr>
      <w:r>
        <w:rPr>
          <w:rFonts w:ascii="Calibri" w:hAnsi="Calibri"/>
          <w:b/>
          <w:color w:val="525866"/>
          <w:sz w:val="22"/>
        </w:rPr>
        <w:t>Crude normalization faster than product normalization:</w:t>
      </w:r>
      <w:r>
        <w:rPr>
          <w:rFonts w:ascii="Calibri" w:hAnsi="Calibri"/>
          <w:color w:val="525866"/>
          <w:sz w:val="22"/>
        </w:rPr>
        <w:t xml:space="preserve"> PBF's commercial team noted crude normalization is "in the weeks to months time frame," while product normalization is "in the months to quarters." MPC read-through: crude costs may ease before product prices, which is a net positive for refining margins (lower input costs, sustained output prices).</w:t>
      </w:r>
    </w:p>
    <w:p>
      <w:pPr>
        <w:pStyle w:val="ListBullet"/>
        <w:ind w:left="360" w:hanging="360"/>
      </w:pPr>
      <w:r>
        <w:rPr>
          <w:rFonts w:ascii="Calibri" w:hAnsi="Calibri"/>
          <w:b/>
          <w:color w:val="525866"/>
          <w:sz w:val="22"/>
        </w:rPr>
        <w:t>West Coast constructive — structural product import need:</w:t>
      </w:r>
      <w:r>
        <w:rPr>
          <w:rFonts w:ascii="Calibri" w:hAnsi="Calibri"/>
          <w:color w:val="525866"/>
          <w:sz w:val="22"/>
        </w:rPr>
        <w:t xml:space="preserve"> PBF expects the West Coast marketplace to be "constructive because they desperately need the products," noting the region has to import "almost a third of your gasoline." Prices must "elevate to that level to attract those barrels," which PBF sees as "really attractive for our business going forward." MPC read-through: MPC's West Coast assets (Anacortes, Golden Eagle/Wilmington/Carson City) benefit from the same structural product shortage.</w:t>
      </w:r>
    </w:p>
    <w:p>
      <w:pPr>
        <w:pStyle w:val="ListBullet"/>
        <w:ind w:left="360" w:hanging="360"/>
      </w:pPr>
      <w:r>
        <w:rPr>
          <w:rFonts w:ascii="Calibri" w:hAnsi="Calibri"/>
          <w:b/>
          <w:color w:val="525866"/>
          <w:sz w:val="22"/>
        </w:rPr>
        <w:t>RINs prices down 10–15% on small refinery exemption expectations:</w:t>
      </w:r>
      <w:r>
        <w:rPr>
          <w:rFonts w:ascii="Calibri" w:hAnsi="Calibri"/>
          <w:color w:val="525866"/>
          <w:sz w:val="22"/>
        </w:rPr>
        <w:t xml:space="preserve"> PBF noted RINs prices have been "knocked down by, you know, ten, 15% even in the last two weeks" due to the perception of small refinery exemptions. MPC read-through: lower RINs costs are a modest tailwind for MPC's compliance costs.</w:t>
      </w:r>
    </w:p>
    <w:p>
      <w:pPr>
        <w:pStyle w:val="ListBullet"/>
        <w:ind w:left="360" w:hanging="360"/>
      </w:pPr>
      <w:r>
        <w:rPr>
          <w:rFonts w:ascii="Calibri" w:hAnsi="Calibri"/>
          <w:b/>
          <w:color w:val="525866"/>
          <w:sz w:val="22"/>
        </w:rPr>
        <w:t>Industry turnaround deferrals — peers maximizing throughput:</w:t>
      </w:r>
      <w:r>
        <w:rPr>
          <w:rFonts w:ascii="Calibri" w:hAnsi="Calibri"/>
          <w:color w:val="525866"/>
          <w:sz w:val="22"/>
        </w:rPr>
        <w:t xml:space="preserve"> PBF deferred its Chalmette Q4 crude unit/Coker turnaround to 2027 and pushed Toledo's FCC turnaround to H1 2027, citing strong margins. MPC read-through: the industry-wide trend of deferring maintenance to maximize throughput in a strong margin environment is consistent with MPC's own strategy of front-loading Q1 turnarounds to run hard in Q2.</w:t>
      </w:r>
    </w:p>
    <w:p>
      <w:pPr>
        <w:pStyle w:val="ListBullet"/>
        <w:ind w:left="360" w:hanging="360"/>
      </w:pPr>
      <w:r>
        <w:rPr>
          <w:rFonts w:ascii="Calibri" w:hAnsi="Calibri"/>
          <w:b/>
          <w:color w:val="525866"/>
          <w:sz w:val="22"/>
        </w:rPr>
        <w:t>Jones Act waivers helping but expected to be temporary:</w:t>
      </w:r>
      <w:r>
        <w:rPr>
          <w:rFonts w:ascii="Calibri" w:hAnsi="Calibri"/>
          <w:color w:val="525866"/>
          <w:sz w:val="22"/>
        </w:rPr>
        <w:t xml:space="preserve"> PBF noted that "temporary Jones Act waivers are helping" alleviate market tightness, particularly on the West Coast, but expects these to be temporary during the Middle East conflict. MPC read-through: Jones Act waivers have also benefited MPC's logistics (moving refined products to the West Coast and crude to the East Coast), and their eventual expiration could tighten regional markets further.</w:t>
      </w:r>
    </w:p>
    <w:p>
      <w:pPr>
        <w:pStyle w:val="Heading3"/>
      </w:pPr>
      <w:r>
        <w:rPr>
          <w:rFonts w:ascii="Calibri" w:hAnsi="Calibri"/>
          <w:b/>
          <w:color w:val="3B4259"/>
          <w:sz w:val="24"/>
        </w:rPr>
        <w:t>Phillips 66 (PSX) — JP Morgan Natural Resources Conference (June 23, 2026)</w:t>
      </w:r>
    </w:p>
    <w:p>
      <w:r>
        <w:rPr>
          <w:rFonts w:ascii="Calibri" w:hAnsi="Calibri"/>
          <w:color w:val="525866"/>
          <w:sz w:val="22"/>
        </w:rPr>
        <w:t>Forward-looking commentary about Q2 2026 and beyond (conference held during Q2 2026):</w:t>
      </w:r>
    </w:p>
    <w:p>
      <w:pPr>
        <w:pStyle w:val="ListBullet"/>
        <w:ind w:left="360" w:hanging="360"/>
      </w:pPr>
      <w:r>
        <w:rPr>
          <w:rFonts w:ascii="Calibri" w:hAnsi="Calibri"/>
          <w:b/>
          <w:color w:val="525866"/>
          <w:sz w:val="22"/>
        </w:rPr>
        <w:t>Refining margins "very constructive for the near to medium term":</w:t>
      </w:r>
      <w:r>
        <w:rPr>
          <w:rFonts w:ascii="Calibri" w:hAnsi="Calibri"/>
          <w:color w:val="525866"/>
          <w:sz w:val="22"/>
        </w:rPr>
        <w:t xml:space="preserve"> PSX CEO Mark Lashier stated that "the combination of whatever the crude price is with tight refining capacity globally is a good setup for the refining complex" and that the environment is "very constructive for refining margins in the near to medium term," citing ongoing hits to the Russia refining complex and uncertainty around China's ramp-up. MPC read-through: PSX's constructive view on margins during Q2 2026 (the conference was held June 23, mid-quarter) directly supports MPC's Q2 earnings setup.</w:t>
      </w:r>
    </w:p>
    <w:p>
      <w:pPr>
        <w:pStyle w:val="ListBullet"/>
        <w:ind w:left="360" w:hanging="360"/>
      </w:pPr>
      <w:r>
        <w:rPr>
          <w:rFonts w:ascii="Calibri" w:hAnsi="Calibri"/>
          <w:b/>
          <w:color w:val="525866"/>
          <w:sz w:val="22"/>
        </w:rPr>
        <w:t>Refined product margins "hanging in there" as crude comes off:</w:t>
      </w:r>
      <w:r>
        <w:rPr>
          <w:rFonts w:ascii="Calibri" w:hAnsi="Calibri"/>
          <w:color w:val="525866"/>
          <w:sz w:val="22"/>
        </w:rPr>
        <w:t xml:space="preserve"> Lashier noted that "refined product margins staying healthy, hanging in there as crude oil comes off," with PSX's "margin indicators strengthening." MPC read-through: the widening of the product-crude spread (crack spread expansion) is the core driver of MPC's Q2 earnings power.</w:t>
      </w:r>
    </w:p>
    <w:p>
      <w:pPr>
        <w:pStyle w:val="ListBullet"/>
        <w:ind w:left="360" w:hanging="360"/>
      </w:pPr>
      <w:r>
        <w:rPr>
          <w:rFonts w:ascii="Calibri" w:hAnsi="Calibri"/>
          <w:b/>
          <w:color w:val="525866"/>
          <w:sz w:val="22"/>
        </w:rPr>
        <w:t>WCS differentials tightened but expected to widen back out:</w:t>
      </w:r>
      <w:r>
        <w:rPr>
          <w:rFonts w:ascii="Calibri" w:hAnsi="Calibri"/>
          <w:color w:val="525866"/>
          <w:sz w:val="22"/>
        </w:rPr>
        <w:t xml:space="preserve"> PSX noted that WCS differentials have "tightened up" due to Canadian production disruptions (fires, then floods), but expects "those differentials widening back out" as Middle Eastern crude enters the market and puts "even more pressure on those differentials." MPC read-through: MPC runs record Canadian volumes and benefits from wide WCS differentials; the near-term tightening is a modest headwind, but the structural outlook for wider differentials is positive.</w:t>
      </w:r>
    </w:p>
    <w:p>
      <w:pPr>
        <w:pStyle w:val="ListBullet"/>
        <w:ind w:left="360" w:hanging="360"/>
      </w:pPr>
      <w:r>
        <w:rPr>
          <w:rFonts w:ascii="Calibri" w:hAnsi="Calibri"/>
          <w:b/>
          <w:color w:val="525866"/>
          <w:sz w:val="22"/>
        </w:rPr>
        <w:t>Strong jet demand:</w:t>
      </w:r>
      <w:r>
        <w:rPr>
          <w:rFonts w:ascii="Calibri" w:hAnsi="Calibri"/>
          <w:color w:val="525866"/>
          <w:sz w:val="22"/>
        </w:rPr>
        <w:t xml:space="preserve"> PSX observed "strong jet demand" with the industry responding quickly. MPC read-through: MPC has been investing in jet optionality (El Paso yield improvement, Robinson jet flexibility project) and is well-positioned to capture jet/ULSD spread tailwinds in Q2.</w:t>
      </w:r>
    </w:p>
    <w:p>
      <w:pPr>
        <w:pStyle w:val="ListBullet"/>
        <w:ind w:left="360" w:hanging="360"/>
      </w:pPr>
      <w:r>
        <w:rPr>
          <w:rFonts w:ascii="Calibri" w:hAnsi="Calibri"/>
          <w:b/>
          <w:color w:val="525866"/>
          <w:sz w:val="22"/>
        </w:rPr>
        <w:t>Cushing inventories at tank bottoms — structural crude floor shift:</w:t>
      </w:r>
      <w:r>
        <w:rPr>
          <w:rFonts w:ascii="Calibri" w:hAnsi="Calibri"/>
          <w:color w:val="525866"/>
          <w:sz w:val="22"/>
        </w:rPr>
        <w:t xml:space="preserve"> Lashier noted that "if you fly over Cushing, Oklahoma, the tanks are at the bottoms there" and that "people are going to need to refill those inventories over time," leading to "some structural shift in what the crude floor is." MPC read-through: low Cushing inventories support inland crude pricing dynamics that benefit MPC's Mid-Continent operations.</w:t>
      </w:r>
    </w:p>
    <w:p>
      <w:pPr>
        <w:pStyle w:val="ListBullet"/>
        <w:ind w:left="360" w:hanging="360"/>
      </w:pPr>
      <w:r>
        <w:rPr>
          <w:rFonts w:ascii="Calibri" w:hAnsi="Calibri"/>
          <w:b/>
          <w:color w:val="525866"/>
          <w:sz w:val="22"/>
        </w:rPr>
        <w:t>Rodeo renewable fuels asset running "over nameplate":</w:t>
      </w:r>
      <w:r>
        <w:rPr>
          <w:rFonts w:ascii="Calibri" w:hAnsi="Calibri"/>
          <w:color w:val="525866"/>
          <w:sz w:val="22"/>
        </w:rPr>
        <w:t xml:space="preserve"> PSX's Rodeo asset is running above nameplate capacity and is "well on its way towards what we would consider successfully at or above that midcycle level" of ~$700M EBITDA. MPC read-through: positive read-through for MPC's Martinez Renewable Fuels facility, which completed its Q1 turnaround and is expected to ramp to low-90% utilization in Q2.</w:t>
      </w:r>
    </w:p>
    <w:p>
      <w:pPr>
        <w:pStyle w:val="ListBullet"/>
        <w:ind w:left="360" w:hanging="360"/>
      </w:pPr>
      <w:r>
        <w:rPr>
          <w:rFonts w:ascii="Calibri" w:hAnsi="Calibri"/>
          <w:b/>
          <w:color w:val="525866"/>
          <w:sz w:val="22"/>
        </w:rPr>
        <w:t>Western Gateway pipeline FID expected "in the next couple of months" (from June 23):</w:t>
      </w:r>
      <w:r>
        <w:rPr>
          <w:rFonts w:ascii="Calibri" w:hAnsi="Calibri"/>
          <w:color w:val="525866"/>
          <w:sz w:val="22"/>
        </w:rPr>
        <w:t xml:space="preserve"> PSX is targeting FID on the Western Gateway pipeline (Mid-Continent to West Coast refined products pipeline) in the near term. MPC read-through: if approved, this pipeline could alter regional supply-demand balances for West Coast refined products, potentially tightening the market further in the near term before the pipeline comes online.</w:t>
      </w:r>
    </w:p>
    <w:p>
      <w:r>
        <w:rPr>
          <w:rFonts w:ascii="Calibri" w:hAnsi="Calibri"/>
          <w:color w:val="525866"/>
          <w:sz w:val="22"/>
        </w:rPr>
        <w:t>Sources: VLO Q2 2026 Earnings Call Transcript (July 30, 2026); PBF Q2 2026 Earnings Call Transcript (July 30, 2026); PSX JP Morgan Natural Resources Conference Transcript (June 23,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