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rk-earnings-predictions--2026-08-04"/>
    <w:p>
      <w:pPr>
        <w:pStyle w:val="Heading1"/>
      </w:pPr>
      <w:r>
        <w:t xml:space="preserve">MRK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~$16.6B vs. cons $16.33B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Keytruda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Gardasil/Gardasil 9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0.90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66.5</m:t>
              </m:r>
              <m:r>
                <m:rPr>
                  <m:sty m:val="p"/>
                </m:rPr>
                <m:t>–</m:t>
              </m:r>
              <m:r>
                <m:t>67.5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66.5B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 (underlying, ex one-time BD charges)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5.15</m:t>
              </m:r>
              <m:r>
                <m:rPr>
                  <m:sty m:val="p"/>
                </m:rPr>
                <m:t>–</m:t>
              </m:r>
              <m:r>
                <m:t>5.30</m:t>
              </m:r>
              <m:r>
                <m:t>e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c</m:t>
              </m:r>
              <m:r>
                <m:t>h</m:t>
              </m:r>
              <m:r>
                <m:t>a</m:t>
              </m:r>
              <m:r>
                <m:t>r</m:t>
              </m:r>
              <m:r>
                <m:t>g</m:t>
              </m:r>
              <m:r>
                <m:t>e</m:t>
              </m:r>
              <m:r>
                <m:t>s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5.10 (FY26); reported cut ~$2.47 for Terns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WINREVAIR trajectory / H2 launch cadence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Q2 WINREVAIR ~</w:t>
            </w:r>
            <m:oMath>
              <m:r>
                <m:t>620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580M (2026Q2)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revenue beat + FX-aided guide raise plus Keytruda durability should drive a modest day-1 pop, but the ~20% YTD run-up has reset the bar. Out-period math is a headwind: management pre-flagged a ~$250M Q3 Keytruda wholesaler-timing reversal and Gardasil China weakness caps upside revisions, so the initial gain fades as the Street trims 2H numbers even after the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2026-08-04T00:55:37Z</dcterms:created>
  <dcterms:modified xsi:type="dcterms:W3CDTF">2026-08-04T00:55:37Z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