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MRK before writing the preview. Let me gather recent earnings materials, filings, and news.Let me read the most recent earnings materials and the recent investor event, plus recent news.Let me pull the recent investor event, broader July news, and stock price context.# Merck &amp; Co. (MRK) — Q2 2026 Earnings Preview</w:t>
      </w:r>
    </w:p>
    <w:bookmarkStart w:id="9" w:name="Xf4a76903b5dea6a4d118e785628a2987329851c"/>
    <w:p>
      <w:pPr>
        <w:pStyle w:val="Heading3"/>
      </w:pPr>
      <w:r>
        <w:t xml:space="preserve">Reports before market open, Tuesday, August 4, 2026 (2026Q2 Earnings Call)</w:t>
      </w:r>
    </w:p>
    <w:p>
      <w:r>
        <w:pict>
          <v:rect style="width:0;height:1.5pt" o:hralign="center" o:hrstd="t" o:hr="t"/>
        </w:pict>
      </w:r>
    </w:p>
    <w:bookmarkEnd w:id="9"/>
    <w:bookmarkStart w:id="10" w:name="Xf5fa32c378612c4305023100108729b91b5fe0d"/>
    <w:p>
      <w:pPr>
        <w:pStyle w:val="Heading2"/>
      </w:pPr>
      <w:r>
        <w:t xml:space="preserve">1. The Setup: What the Street Expects</w:t>
      </w:r>
    </w:p>
    <w:p>
      <w:pPr>
        <w:pStyle w:val="FirstParagraph"/>
      </w:pPr>
      <w:r>
        <w:t xml:space="preserve">Consensus for the quarter is roughly</w:t>
      </w:r>
      <w:r>
        <w:t xml:space="preserve"> </w:t>
      </w:r>
      <m:oMath>
        <m:r>
          <m:t>16.33</m:t>
        </m:r>
        <m:r>
          <m:t>B</m:t>
        </m:r>
        <m:r>
          <m:t>i</m:t>
        </m:r>
        <m:r>
          <m:t>n</m:t>
        </m:r>
        <m:r>
          <m:t>r</m:t>
        </m:r>
        <m:r>
          <m:t>e</m:t>
        </m:r>
        <m:r>
          <m:t>v</m:t>
        </m:r>
        <m:r>
          <m:t>e</m:t>
        </m:r>
        <m:r>
          <m:t>n</m:t>
        </m:r>
        <m:r>
          <m:t>u</m:t>
        </m:r>
        <m:r>
          <m:t>e</m:t>
        </m:r>
        <m:r>
          <m:rPr>
            <m:sty m:val="p"/>
          </m:rPr>
          <m:t>(</m:t>
        </m:r>
        <m:r>
          <m:t> </m:t>
        </m:r>
        <m:r>
          <m:rPr>
            <m:sty m:val="p"/>
          </m:rPr>
          <m:t>+</m:t>
        </m:r>
        <m:r>
          <m:t>3</m:t>
        </m:r>
        <m:r>
          <m:rPr>
            <m:sty m:val="p"/>
          </m:rPr>
          <m:t>–</m:t>
        </m:r>
        <m:r>
          <m:t>3.4</m:t>
        </m:r>
      </m:oMath>
      <w:r>
        <w:rPr>
          <w:b/>
          <w:bCs/>
        </w:rPr>
        <w:t xml:space="preserve">15.81B</w:t>
      </w:r>
      <w:r>
        <w:t xml:space="preserve">, with a reported</w:t>
      </w:r>
      <w:r>
        <w:t xml:space="preserve"> </w:t>
      </w:r>
      <w:r>
        <w:rPr>
          <w:b/>
          <w:bCs/>
        </w:rPr>
        <w:t xml:space="preserve">EPS of about –</w:t>
      </w:r>
      <w:r>
        <w:rPr>
          <w:b/>
          <w:bCs/>
        </w:rPr>
        <w:t xml:space="preserve">$0.25**. The headline loss is optical, not operational — it reflects a **one-time R&amp;D charge from the Terns Pharmaceuticals acquisition (~$</w:t>
      </w:r>
      <w:r>
        <w:rPr>
          <w:b/>
          <w:bCs/>
        </w:rPr>
        <w:t xml:space="preserve">5.8B, or ~$2.35/share)</w:t>
      </w:r>
      <w:r>
        <w:t xml:space="preserve">, which was structured as an asset acquisition and expected to close in May. Underlying ex-charge earnings power remains solidly positive.</w:t>
      </w:r>
    </w:p>
    <w:p>
      <w:pPr>
        <w:pStyle w:val="BodyText"/>
      </w:pPr>
      <w:r>
        <w:rPr>
          <w:b/>
          <w:bCs/>
        </w:rPr>
        <w:t xml:space="preserve">Key framing:</w:t>
      </w:r>
      <w:r>
        <w:t xml:space="preserve"> </w:t>
      </w:r>
      <w:r>
        <w:t xml:space="preserve">This is the second consecutive quarter where a large BD-driven charge distorts GAAP/non-GAAP EPS (Q1 carried a $9.0B / $3.62 Cidara charge). Investors should look through the print to (a) organic revenue momentum, (b) whether full-year guidance is raised/narrowed again, and (c) pipeline execution into a heavy H2 catalyst calendar.</w:t>
      </w:r>
    </w:p>
    <w:p>
      <w:r>
        <w:pict>
          <v:rect style="width:0;height:1.5pt" o:hralign="center" o:hrstd="t" o:hr="t"/>
        </w:pict>
      </w:r>
    </w:p>
    <w:bookmarkEnd w:id="10"/>
    <w:bookmarkStart w:id="11" w:name="X8797d01267a5024b52def67e1801b3361d6b038"/>
    <w:p>
      <w:pPr>
        <w:pStyle w:val="Heading2"/>
      </w:pPr>
      <w:r>
        <w:t xml:space="preserve">2. Stock Context Going In</w:t>
      </w:r>
    </w:p>
    <w:p>
      <w:pPr>
        <w:pStyle w:val="FirstParagraph"/>
      </w:pPr>
      <w:r>
        <w:t xml:space="preserve">MRK enters the print with real momentum. Shares are up roughly</w:t>
      </w:r>
      <w:r>
        <w:t xml:space="preserve"> </w:t>
      </w:r>
      <w:r>
        <w:rPr>
          <w:b/>
          <w:bCs/>
        </w:rPr>
        <w:t xml:space="preserve">20% YTD</w:t>
      </w:r>
      <w:r>
        <w:t xml:space="preserve"> </w:t>
      </w:r>
      <w:r>
        <w:t xml:space="preserve">(~</w:t>
      </w:r>
      <m:oMath>
        <m:r>
          <m:t>106</m:t>
        </m:r>
        <m:r>
          <m:rPr>
            <m:sty m:val="p"/>
          </m:rPr>
          <m:t>→</m:t>
        </m:r>
        <m:r>
          <m:t> </m:t>
        </m:r>
      </m:oMath>
      <w:r>
        <w:t xml:space="preserve">128), meaningfully outpacing the healthcare sector (XLV ~+4% over the same window). The stock bottomed near **</w:t>
      </w:r>
      <m:oMath>
        <m:r>
          <m:t>110</m:t>
        </m:r>
        <m:r>
          <m:t>i</m:t>
        </m:r>
        <m:r>
          <m:t>n</m:t>
        </m:r>
        <m:r>
          <m:t>l</m:t>
        </m:r>
        <m:r>
          <m:t>a</m:t>
        </m:r>
        <m:r>
          <m:t>t</m:t>
        </m:r>
        <m:r>
          <m:t>e</m:t>
        </m:r>
        <m:r>
          <m:t>A</m:t>
        </m:r>
        <m:r>
          <m:t>p</m:t>
        </m:r>
        <m:r>
          <m:t>r</m:t>
        </m:r>
        <m:r>
          <m:t>i</m:t>
        </m:r>
        <m:r>
          <m:t>l</m:t>
        </m:r>
        <m:r>
          <m:rPr>
            <m:sty m:val="p"/>
          </m:rPr>
          <m:t>*</m:t>
        </m:r>
        <m:r>
          <m:rPr>
            <m:sty m:val="p"/>
          </m:rPr>
          <m:t>*</m:t>
        </m:r>
        <m:r>
          <m:rPr>
            <m:sty m:val="p"/>
          </m:rPr>
          <m:t>(</m:t>
        </m:r>
        <m:r>
          <m:t>p</m:t>
        </m:r>
        <m:r>
          <m:t>o</m:t>
        </m:r>
        <m:r>
          <m:t>s</m:t>
        </m:r>
        <m:r>
          <m:t>t</m:t>
        </m:r>
        <m:r>
          <m:rPr>
            <m:sty m:val="p"/>
          </m:rPr>
          <m:t>−</m:t>
        </m:r>
        <m:r>
          <m:t>Q</m:t>
        </m:r>
        <m:r>
          <m:t>1</m:t>
        </m:r>
        <m:r>
          <m:rPr>
            <m:sty m:val="p"/>
          </m:rPr>
          <m:t>,</m:t>
        </m:r>
        <m:r>
          <m:t>w</m:t>
        </m:r>
        <m:r>
          <m:t>h</m:t>
        </m:r>
        <m:r>
          <m:t>e</m:t>
        </m:r>
        <m:r>
          <m:t>n</m:t>
        </m:r>
        <m:r>
          <m:t>t</m:t>
        </m:r>
        <m:r>
          <m:t>h</m:t>
        </m:r>
        <m:r>
          <m:t>e</m:t>
        </m:r>
        <m:r>
          <m:t>C</m:t>
        </m:r>
        <m:r>
          <m:t>i</m:t>
        </m:r>
        <m:r>
          <m:t>d</m:t>
        </m:r>
        <m:r>
          <m:t>a</m:t>
        </m:r>
        <m:r>
          <m:t>r</m:t>
        </m:r>
        <m:r>
          <m:t>a</m:t>
        </m:r>
        <m:r>
          <m:t>c</m:t>
        </m:r>
        <m:r>
          <m:t>h</m:t>
        </m:r>
        <m:r>
          <m:t>a</m:t>
        </m:r>
        <m:r>
          <m:t>r</m:t>
        </m:r>
        <m:r>
          <m:t>g</m:t>
        </m:r>
        <m:r>
          <m:t>e</m:t>
        </m:r>
        <m:r>
          <m:t>a</m:t>
        </m:r>
        <m:r>
          <m:t>n</m:t>
        </m:r>
        <m:r>
          <m:t>d</m:t>
        </m:r>
        <m:r>
          <m:t>G</m:t>
        </m:r>
        <m:r>
          <m:t>a</m:t>
        </m:r>
        <m:r>
          <m:t>r</m:t>
        </m:r>
        <m:r>
          <m:t>d</m:t>
        </m:r>
        <m:r>
          <m:t>a</m:t>
        </m:r>
        <m:r>
          <m:t>s</m:t>
        </m:r>
        <m:r>
          <m:t>i</m:t>
        </m:r>
        <m:r>
          <m:t>l</m:t>
        </m:r>
        <m:r>
          <m:t>w</m:t>
        </m:r>
        <m:r>
          <m:t>e</m:t>
        </m:r>
        <m:r>
          <m:t>a</m:t>
        </m:r>
        <m:r>
          <m:t>k</m:t>
        </m:r>
        <m:r>
          <m:t>n</m:t>
        </m:r>
        <m:r>
          <m:t>e</m:t>
        </m:r>
        <m:r>
          <m:t>s</m:t>
        </m:r>
        <m:r>
          <m:t>s</m:t>
        </m:r>
        <m:r>
          <m:t>w</m:t>
        </m:r>
        <m:r>
          <m:t>e</m:t>
        </m:r>
        <m:r>
          <m:t>i</m:t>
        </m:r>
        <m:r>
          <m:t>g</m:t>
        </m:r>
        <m:r>
          <m:t>h</m:t>
        </m:r>
        <m:r>
          <m:t>e</m:t>
        </m:r>
        <m:r>
          <m:t>d</m:t>
        </m:r>
        <m:r>
          <m:rPr>
            <m:sty m:val="p"/>
          </m:rPr>
          <m:t>)</m:t>
        </m:r>
        <m:r>
          <m:rPr>
            <m:sty m:val="p"/>
          </m:rPr>
          <m:t>,</m:t>
        </m:r>
        <m:r>
          <m:t>t</m:t>
        </m:r>
        <m:r>
          <m:t>h</m:t>
        </m:r>
        <m:r>
          <m:t>e</m:t>
        </m:r>
        <m:r>
          <m:t>n</m:t>
        </m:r>
        <m:r>
          <m:t>r</m:t>
        </m:r>
        <m:r>
          <m:t>a</m:t>
        </m:r>
        <m:r>
          <m:t>l</m:t>
        </m:r>
        <m:r>
          <m:t>l</m:t>
        </m:r>
        <m:r>
          <m:t>i</m:t>
        </m:r>
        <m:r>
          <m:t>e</m:t>
        </m:r>
        <m:r>
          <m:t>d</m:t>
        </m:r>
        <m:r>
          <m:t>h</m:t>
        </m:r>
        <m:r>
          <m:t>a</m:t>
        </m:r>
        <m:r>
          <m:t>r</m:t>
        </m:r>
        <m:r>
          <m:t>d</m:t>
        </m:r>
        <m:r>
          <m:t>f</m:t>
        </m:r>
        <m:r>
          <m:t>r</m:t>
        </m:r>
        <m:r>
          <m:t>o</m:t>
        </m:r>
        <m:r>
          <m:t>m</m:t>
        </m:r>
        <m:r>
          <m:t>l</m:t>
        </m:r>
        <m:r>
          <m:t>a</m:t>
        </m:r>
        <m:r>
          <m:t>t</m:t>
        </m:r>
        <m:r>
          <m:t>e</m:t>
        </m:r>
        <m:r>
          <m:t>J</m:t>
        </m:r>
        <m:r>
          <m:t>u</m:t>
        </m:r>
        <m:r>
          <m:t>n</m:t>
        </m:r>
        <m:r>
          <m:t>e</m:t>
        </m:r>
        <m:r>
          <m:rPr>
            <m:sty m:val="p"/>
          </m:rPr>
          <m:t>(</m:t>
        </m:r>
        <m:r>
          <m:t> </m:t>
        </m:r>
      </m:oMath>
      <w:r>
        <w:t xml:space="preserve">120 → ~$129) through July on improving sentiment around Keytruda durability and pipeline optionality.</w:t>
      </w:r>
    </w:p>
    <w:p>
      <w:pPr>
        <w:pStyle w:val="BodyText"/>
      </w:pPr>
      <w:r>
        <w:rPr>
          <w:b/>
          <w:bCs/>
        </w:rPr>
        <w:t xml:space="preserve">Implication:</w:t>
      </w:r>
      <w:r>
        <w:t xml:space="preserve"> </w:t>
      </w:r>
      <w:r>
        <w:t xml:space="preserve">Expectations have reset higher. After a ~20% run, the bar for a positive reaction is now elevated — clean organic beats plus a guidance raise may be needed to sustain the move, while any softness in Gardasil or a cautious H2 tone could trigger profit-taking.</w:t>
      </w:r>
    </w:p>
    <w:p>
      <w:r>
        <w:pict>
          <v:rect style="width:0;height:1.5pt" o:hralign="center" o:hrstd="t" o:hr="t"/>
        </w:pict>
      </w:r>
    </w:p>
    <w:bookmarkEnd w:id="11"/>
    <w:bookmarkStart w:id="12" w:name="Xe5a5ea4193bb5e4ff8d659104b9a2433e176b79"/>
    <w:p>
      <w:pPr>
        <w:pStyle w:val="Heading2"/>
      </w:pPr>
      <w:r>
        <w:t xml:space="preserve">3. The Central Debate: The Keytruda Cliff</w:t>
      </w:r>
    </w:p>
    <w:p>
      <w:pPr>
        <w:pStyle w:val="FirstParagraph"/>
      </w:pPr>
      <w:r>
        <w:t xml:space="preserve">Everything about the MRK thesis orbits the same question —</w:t>
      </w:r>
      <w:r>
        <w:t xml:space="preserve"> </w:t>
      </w:r>
      <w:r>
        <w:rPr>
          <w:b/>
          <w:bCs/>
        </w:rPr>
        <w:t xml:space="preserve">can the company replace Keytruda ahead of its 2028 patent cliff?</w:t>
      </w:r>
      <w:r>
        <w:t xml:space="preserve"> </w:t>
      </w:r>
      <w:r>
        <w:t xml:space="preserve">Keytruda is the best-selling drug in the world (~</w:t>
      </w:r>
      <m:oMath>
        <m:r>
          <m:t>32</m:t>
        </m:r>
        <m:r>
          <m:t>B</m:t>
        </m:r>
        <m:r>
          <m:t>i</m:t>
        </m:r>
        <m:r>
          <m:t>n</m:t>
        </m:r>
        <m:r>
          <m:t>2025</m:t>
        </m:r>
        <m:r>
          <m:rPr>
            <m:sty m:val="p"/>
          </m:rPr>
          <m:t>,</m:t>
        </m:r>
        <m:r>
          <m:t> </m:t>
        </m:r>
      </m:oMath>
      <w:r>
        <w:t xml:space="preserve">8.0B in Q1 2026), and U.S. patents begin eroding in 2028.</w:t>
      </w:r>
    </w:p>
    <w:p>
      <w:pPr>
        <w:pStyle w:val="BodyText"/>
      </w:pPr>
      <w:r>
        <w:t xml:space="preserve">Management's answer is a</w:t>
      </w:r>
      <w:r>
        <w:t xml:space="preserve"> </w:t>
      </w:r>
      <w:r>
        <w:rPr>
          <w:b/>
          <w:bCs/>
        </w:rPr>
        <w:t xml:space="preserve">portfolio transformation</w:t>
      </w:r>
      <w:r>
        <w:t xml:space="preserve">: 20+ new product launches with a stated</w:t>
      </w:r>
      <w:r>
        <w:t xml:space="preserve"> </w:t>
      </w:r>
      <w:r>
        <w:rPr>
          <w:b/>
          <w:bCs/>
        </w:rPr>
        <w:t xml:space="preserve">&gt;$70B revenue opportunity by the mid-2030s</w:t>
      </w:r>
      <w:r>
        <w:t xml:space="preserve">. Watch for updated commentary on:</w:t>
      </w:r>
    </w:p>
    <w:p>
      <w:pPr>
        <w:pStyle w:val="Compact"/>
        <w:numPr>
          <w:ilvl w:val="0"/>
          <w:numId w:val="1001"/>
        </w:numPr>
      </w:pPr>
      <w:r>
        <w:rPr>
          <w:b/>
          <w:bCs/>
        </w:rPr>
        <w:t xml:space="preserve">KEYTRUDA QLEX</w:t>
      </w:r>
      <w:r>
        <w:t xml:space="preserve"> </w:t>
      </w:r>
      <w:r>
        <w:t xml:space="preserve">(subcutaneous) conversion — $128M in Q1 with a permanent J-code effective April 1. Subcutaneous conversion is a key patent-cliff mitigant, so the QLEX ramp trajectory is a critical data point this quarter.</w:t>
      </w:r>
    </w:p>
    <w:p>
      <w:pPr>
        <w:pStyle w:val="Compact"/>
        <w:numPr>
          <w:ilvl w:val="0"/>
          <w:numId w:val="1001"/>
        </w:numPr>
      </w:pPr>
      <w:r>
        <w:rPr>
          <w:b/>
          <w:bCs/>
        </w:rPr>
        <w:t xml:space="preserve">sac-TMT</w:t>
      </w:r>
      <w:r>
        <w:t xml:space="preserve"> </w:t>
      </w:r>
      <w:r>
        <w:t xml:space="preserve">(TROP2 ADC, partnered with Kelun) — 17 Phase 3 trials underway. The market increasingly views ADC + bispecific combinations as the next oncology standard; MRK is playing catch-up to AstraZeneca, Pfizer, Gilead and Roche here, so pipeline confidence updates matter.</w:t>
      </w:r>
    </w:p>
    <w:p>
      <w:pPr>
        <w:pStyle w:val="FirstParagraph"/>
      </w:pPr>
      <w:r>
        <w:rPr>
          <w:b/>
          <w:bCs/>
        </w:rPr>
        <w:t xml:space="preserve">Modeling nuance to flag:</w:t>
      </w:r>
      <w:r>
        <w:t xml:space="preserve"> </w:t>
      </w:r>
      <w:r>
        <w:t xml:space="preserve">Management explicitly warned that Q1 Keytruda benefited by ~$250M from U.S. wholesaler purchase timing, with a</w:t>
      </w:r>
      <w:r>
        <w:t xml:space="preserve"> </w:t>
      </w:r>
      <w:r>
        <w:rPr>
          <w:b/>
          <w:bCs/>
        </w:rPr>
        <w:t xml:space="preserve">corresponding headwind coming in Q3</w:t>
      </w:r>
      <w:r>
        <w:t xml:space="preserve">. Q2 Keytruda growth should be judged against that context.</w:t>
      </w:r>
    </w:p>
    <w:p>
      <w:r>
        <w:pict>
          <v:rect style="width:0;height:1.5pt" o:hralign="center" o:hrstd="t" o:hr="t"/>
        </w:pict>
      </w:r>
    </w:p>
    <w:bookmarkEnd w:id="12"/>
    <w:bookmarkStart w:id="15" w:name="X97c398bb484788620b11644d717a5cb17326775"/>
    <w:p>
      <w:pPr>
        <w:pStyle w:val="Heading2"/>
      </w:pPr>
      <w:r>
        <w:t xml:space="preserve">4. Revenue Drivers to Watch</w:t>
      </w:r>
    </w:p>
    <w:bookmarkStart w:id="13" w:name="positive-momentum"/>
    <w:p>
      <w:pPr>
        <w:pStyle w:val="Heading3"/>
      </w:pPr>
      <w:r>
        <w:t xml:space="preserve">Positive momentum</w:t>
      </w:r>
    </w:p>
    <w:p>
      <w:pPr>
        <w:pStyle w:val="Compact"/>
        <w:numPr>
          <w:ilvl w:val="0"/>
          <w:numId w:val="1002"/>
        </w:numPr>
      </w:pPr>
      <w:r>
        <w:rPr>
          <w:b/>
          <w:bCs/>
        </w:rPr>
        <w:t xml:space="preserve">WINREVAIR (PAH)</w:t>
      </w:r>
      <w:r>
        <w:t xml:space="preserve"> </w:t>
      </w:r>
      <w:r>
        <w:t xml:space="preserve">— the standout grower (Q1 $525M, +87% ex-FX; Q2 2025 was only $336M). Any acceleration plus the</w:t>
      </w:r>
      <w:r>
        <w:t xml:space="preserve"> </w:t>
      </w:r>
      <w:r>
        <w:rPr>
          <w:b/>
          <w:bCs/>
        </w:rPr>
        <w:t xml:space="preserve">Sept 21 HYPERION label-update PDUFA</w:t>
      </w:r>
      <w:r>
        <w:t xml:space="preserve"> </w:t>
      </w:r>
      <w:r>
        <w:t xml:space="preserve">keeps this a marquee story. Watch the CpcPH-HFpEF (CADENCE) Phase 3 plan as an expansion optionality.</w:t>
      </w:r>
    </w:p>
    <w:p>
      <w:pPr>
        <w:pStyle w:val="Compact"/>
        <w:numPr>
          <w:ilvl w:val="0"/>
          <w:numId w:val="1002"/>
        </w:numPr>
      </w:pPr>
      <w:r>
        <w:rPr>
          <w:b/>
          <w:bCs/>
        </w:rPr>
        <w:t xml:space="preserve">New launches</w:t>
      </w:r>
      <w:r>
        <w:t xml:space="preserve"> </w:t>
      </w:r>
      <w:r>
        <w:t xml:space="preserve">— CAPVAXIVE (pneumococcal), WELIREG (+43% in Q1), OHTUVAYRE (COPD, from the Verona acquisition), and PREVYMIS. OHTUVAYRE was hit by a CMS reimbursement change in Q1 but prescriptions began recovering in March — watch for the promised H2 acceleration.</w:t>
      </w:r>
    </w:p>
    <w:p>
      <w:pPr>
        <w:pStyle w:val="Compact"/>
        <w:numPr>
          <w:ilvl w:val="0"/>
          <w:numId w:val="1002"/>
        </w:numPr>
      </w:pPr>
      <w:r>
        <w:rPr>
          <w:b/>
          <w:bCs/>
        </w:rPr>
        <w:t xml:space="preserve">Animal Health</w:t>
      </w:r>
      <w:r>
        <w:t xml:space="preserve"> </w:t>
      </w:r>
      <w:r>
        <w:t xml:space="preserve">— steady mid-single-digit grower.</w:t>
      </w:r>
    </w:p>
    <w:bookmarkEnd w:id="13"/>
    <w:bookmarkStart w:id="14" w:name="overhangs--potential-soft-spots"/>
    <w:p>
      <w:pPr>
        <w:pStyle w:val="Heading3"/>
      </w:pPr>
      <w:r>
        <w:t xml:space="preserve">Overhangs / potential soft spots</w:t>
      </w:r>
    </w:p>
    <w:p>
      <w:pPr>
        <w:pStyle w:val="Compact"/>
        <w:numPr>
          <w:ilvl w:val="0"/>
          <w:numId w:val="1003"/>
        </w:numPr>
      </w:pPr>
      <w:r>
        <w:rPr>
          <w:b/>
          <w:bCs/>
        </w:rPr>
        <w:t xml:space="preserve">GARDASIL</w:t>
      </w:r>
      <w:r>
        <w:t xml:space="preserve"> </w:t>
      </w:r>
      <w:r>
        <w:t xml:space="preserve">— the key concern. Q1 fell 22% ex-FX on weak China/Japan demand (Q2 2025 base was $1,126M). China HPV weakness has been a persistent negative — the trajectory here is the single most important number on the vaccines line.</w:t>
      </w:r>
    </w:p>
    <w:p>
      <w:pPr>
        <w:pStyle w:val="Compact"/>
        <w:numPr>
          <w:ilvl w:val="0"/>
          <w:numId w:val="1003"/>
        </w:numPr>
      </w:pPr>
      <w:r>
        <w:rPr>
          <w:b/>
          <w:bCs/>
        </w:rPr>
        <w:t xml:space="preserve">ENFLONSIA (RSV)</w:t>
      </w:r>
      <w:r>
        <w:t xml:space="preserve"> </w:t>
      </w:r>
      <w:r>
        <w:t xml:space="preserve">— management guided to</w:t>
      </w:r>
      <w:r>
        <w:t xml:space="preserve"> </w:t>
      </w:r>
      <w:r>
        <w:rPr>
          <w:b/>
          <w:bCs/>
        </w:rPr>
        <w:t xml:space="preserve">minimal Q2 sales</w:t>
      </w:r>
      <w:r>
        <w:t xml:space="preserve"> </w:t>
      </w:r>
      <w:r>
        <w:t xml:space="preserve">given seasonality and high RSV mAb channel inventory; shipments are back-half weighted. Don't over-read a weak Q2 print.</w:t>
      </w:r>
    </w:p>
    <w:p>
      <w:pPr>
        <w:pStyle w:val="Compact"/>
        <w:numPr>
          <w:ilvl w:val="0"/>
          <w:numId w:val="1003"/>
        </w:numPr>
      </w:pPr>
      <w:r>
        <w:rPr>
          <w:b/>
          <w:bCs/>
        </w:rPr>
        <w:t xml:space="preserve">Legacy erosion</w:t>
      </w:r>
      <w:r>
        <w:t xml:space="preserve"> </w:t>
      </w:r>
      <w:r>
        <w:t xml:space="preserve">— JANUVIA/JANUMET (generics), LAGEVRIO (–73%), VAXNEUVANCE (competition) remain declining.</w:t>
      </w:r>
    </w:p>
    <w:p>
      <w:r>
        <w:pict>
          <v:rect style="width:0;height:1.5pt" o:hralign="center" o:hrstd="t" o:hr="t"/>
        </w:pict>
      </w:r>
    </w:p>
    <w:bookmarkEnd w:id="14"/>
    <w:bookmarkEnd w:id="15"/>
    <w:bookmarkStart w:id="16" w:name="X8570be12da16b8ed7a57bc095b74363fbee97ee"/>
    <w:p>
      <w:pPr>
        <w:pStyle w:val="Heading2"/>
      </w:pPr>
      <w:r>
        <w:t xml:space="preserve">5. Guidance — The Most Important Number</w:t>
      </w:r>
    </w:p>
    <w:p>
      <w:pPr>
        <w:pStyle w:val="FirstParagraph"/>
      </w:pPr>
      <w:r>
        <w:t xml:space="preserve">At Q1, MRK</w:t>
      </w:r>
      <w:r>
        <w:t xml:space="preserve"> </w:t>
      </w:r>
      <w:r>
        <w:rPr>
          <w:b/>
          <w:bCs/>
        </w:rPr>
        <w:t xml:space="preserve">raised and narrowed</w:t>
      </w:r>
      <w:r>
        <w:t xml:space="preserve"> </w:t>
      </w:r>
      <w:r>
        <w:t xml:space="preserve">FY26 guidance to</w:t>
      </w:r>
      <w:r>
        <w:t xml:space="preserve"> </w:t>
      </w:r>
      <w:r>
        <w:rPr>
          <w:b/>
          <w:bCs/>
        </w:rPr>
        <w:t xml:space="preserve">revenue $65.8–67.0B</w:t>
      </w:r>
      <w:r>
        <w:t xml:space="preserve"> </w:t>
      </w:r>
      <w:r>
        <w:t xml:space="preserve">and</w:t>
      </w:r>
      <w:r>
        <w:t xml:space="preserve"> </w:t>
      </w:r>
      <w:r>
        <w:rPr>
          <w:b/>
          <w:bCs/>
        </w:rPr>
        <w:t xml:space="preserve">non-GAAP EPS $5.04–5.16</w:t>
      </w:r>
      <w:r>
        <w:t xml:space="preserve"> </w:t>
      </w:r>
      <w:r>
        <w:t xml:space="preserve">(including the</w:t>
      </w:r>
      <w:r>
        <w:t xml:space="preserve"> </w:t>
      </w:r>
      <m:oMath>
        <m:r>
          <m:t>3.62</m:t>
        </m:r>
        <m:r>
          <m:t>C</m:t>
        </m:r>
        <m:r>
          <m:t>i</m:t>
        </m:r>
        <m:r>
          <m:t>d</m:t>
        </m:r>
        <m:r>
          <m:t>a</m:t>
        </m:r>
        <m:r>
          <m:t>r</m:t>
        </m:r>
        <m:r>
          <m:t>a</m:t>
        </m:r>
        <m:r>
          <m:t>c</m:t>
        </m:r>
        <m:r>
          <m:t>h</m:t>
        </m:r>
        <m:r>
          <m:t>a</m:t>
        </m:r>
        <m:r>
          <m:t>r</m:t>
        </m:r>
        <m:r>
          <m:t>g</m:t>
        </m:r>
        <m:r>
          <m:t>e</m:t>
        </m:r>
        <m:r>
          <m:rPr>
            <m:sty m:val="p"/>
          </m:rPr>
          <m:t>,</m:t>
        </m:r>
        <m:r>
          <m:t> </m:t>
        </m:r>
        <m:r>
          <m:t>1</m:t>
        </m:r>
        <m:r>
          <m:t>p</m:t>
        </m:r>
        <m:r>
          <m:t>t</m:t>
        </m:r>
        <m:r>
          <m:t>F</m:t>
        </m:r>
        <m:r>
          <m:t>X</m:t>
        </m:r>
        <m:r>
          <m:t>t</m:t>
        </m:r>
        <m:r>
          <m:t>a</m:t>
        </m:r>
        <m:r>
          <m:t>i</m:t>
        </m:r>
        <m:r>
          <m:t>l</m:t>
        </m:r>
        <m:r>
          <m:t>w</m:t>
        </m:r>
        <m:r>
          <m:t>i</m:t>
        </m:r>
        <m:r>
          <m:t>n</m:t>
        </m:r>
        <m:r>
          <m:t>d</m:t>
        </m:r>
        <m:r>
          <m:rPr>
            <m:sty m:val="p"/>
          </m:rPr>
          <m:t>)</m:t>
        </m:r>
        <m:r>
          <m:rPr>
            <m:sty m:val="p"/>
          </m:rPr>
          <m:t>.</m:t>
        </m:r>
        <m:r>
          <m:t>C</m:t>
        </m:r>
        <m:r>
          <m:t>r</m:t>
        </m:r>
        <m:r>
          <m:t>i</m:t>
        </m:r>
        <m:r>
          <m:t>t</m:t>
        </m:r>
        <m:r>
          <m:t>i</m:t>
        </m:r>
        <m:r>
          <m:t>c</m:t>
        </m:r>
        <m:r>
          <m:t>a</m:t>
        </m:r>
        <m:r>
          <m:t>l</m:t>
        </m:r>
        <m:r>
          <m:t>l</m:t>
        </m:r>
        <m:r>
          <m:t>y</m:t>
        </m:r>
        <m:r>
          <m:rPr>
            <m:sty m:val="p"/>
          </m:rPr>
          <m:t>,</m:t>
        </m:r>
        <m:r>
          <m:rPr>
            <m:sty m:val="p"/>
          </m:rPr>
          <m:t>*</m:t>
        </m:r>
        <m:r>
          <m:rPr>
            <m:sty m:val="p"/>
          </m:rPr>
          <m:t>*</m:t>
        </m:r>
        <m:r>
          <m:t>t</m:t>
        </m:r>
        <m:r>
          <m:t>h</m:t>
        </m:r>
        <m:r>
          <m:t>i</m:t>
        </m:r>
        <m:r>
          <m:t>s</m:t>
        </m:r>
        <m:r>
          <m:t>g</m:t>
        </m:r>
        <m:r>
          <m:t>u</m:t>
        </m:r>
        <m:r>
          <m:t>i</m:t>
        </m:r>
        <m:r>
          <m:t>d</m:t>
        </m:r>
        <m:r>
          <m:t>a</m:t>
        </m:r>
        <m:r>
          <m:t>n</m:t>
        </m:r>
        <m:r>
          <m:t>c</m:t>
        </m:r>
        <m:r>
          <m:t>e</m:t>
        </m:r>
        <m:r>
          <m:t>e</m:t>
        </m:r>
        <m:r>
          <m:t>x</m:t>
        </m:r>
        <m:r>
          <m:t>c</m:t>
        </m:r>
        <m:r>
          <m:t>l</m:t>
        </m:r>
        <m:r>
          <m:t>u</m:t>
        </m:r>
        <m:r>
          <m:t>d</m:t>
        </m:r>
        <m:r>
          <m:t>e</m:t>
        </m:r>
        <m:r>
          <m:t>s</m:t>
        </m:r>
        <m:r>
          <m:t>T</m:t>
        </m:r>
        <m:r>
          <m:t>e</m:t>
        </m:r>
        <m:r>
          <m:t>r</m:t>
        </m:r>
        <m:r>
          <m:t>n</m:t>
        </m:r>
        <m:r>
          <m:t>s</m:t>
        </m:r>
        <m:r>
          <m:rPr>
            <m:sty m:val="p"/>
          </m:rPr>
          <m:t>*</m:t>
        </m:r>
        <m:r>
          <m:rPr>
            <m:sty m:val="p"/>
          </m:rPr>
          <m:t>*</m:t>
        </m:r>
        <m:r>
          <m:rPr>
            <m:sty m:val="p"/>
          </m:rPr>
          <m:t>(</m:t>
        </m:r>
        <m:r>
          <m:t> </m:t>
        </m:r>
      </m:oMath>
      <w:r>
        <w:t xml:space="preserve">2.35/share charge + ~$0.12 dilution from financing/TERN-701 investment).</w:t>
      </w:r>
    </w:p>
    <w:p>
      <w:pPr>
        <w:pStyle w:val="BodyText"/>
      </w:pPr>
      <w:r>
        <w:rPr>
          <w:b/>
          <w:bCs/>
        </w:rPr>
        <w:t xml:space="preserve">What to watch:</w:t>
      </w:r>
    </w:p>
    <w:p>
      <w:pPr>
        <w:pStyle w:val="Compact"/>
        <w:numPr>
          <w:ilvl w:val="0"/>
          <w:numId w:val="1004"/>
        </w:numPr>
      </w:pPr>
      <w:r>
        <w:t xml:space="preserve">Does management raise/narrow again given FX tailwinds and launch momentum?</w:t>
      </w:r>
    </w:p>
    <w:p>
      <w:pPr>
        <w:pStyle w:val="Compact"/>
        <w:numPr>
          <w:ilvl w:val="0"/>
          <w:numId w:val="1004"/>
        </w:numPr>
      </w:pPr>
      <w:r>
        <w:t xml:space="preserve">Does the Terns charge now get formally folded into the guide (it closed in May)?</w:t>
      </w:r>
    </w:p>
    <w:p>
      <w:pPr>
        <w:pStyle w:val="Compact"/>
        <w:numPr>
          <w:ilvl w:val="0"/>
          <w:numId w:val="1004"/>
        </w:numPr>
      </w:pPr>
      <w:r>
        <w:t xml:space="preserve">SG&amp;A was flagged to step up in H2 to support launches — watch operating-expense cadence.</w:t>
      </w:r>
    </w:p>
    <w:p>
      <w:pPr>
        <w:pStyle w:val="Compact"/>
        <w:numPr>
          <w:ilvl w:val="0"/>
          <w:numId w:val="1004"/>
        </w:numPr>
      </w:pPr>
      <w:r>
        <w:t xml:space="preserve">Reiteration of ~$3B buybacks and the dividend commitment.</w:t>
      </w:r>
    </w:p>
    <w:p>
      <w:r>
        <w:pict>
          <v:rect style="width:0;height:1.5pt" o:hralign="center" o:hrstd="t" o:hr="t"/>
        </w:pict>
      </w:r>
    </w:p>
    <w:bookmarkEnd w:id="16"/>
    <w:bookmarkStart w:id="17" w:name="X8c7ba913d4911e8aa0fce817096c635ab150cd3"/>
    <w:p>
      <w:pPr>
        <w:pStyle w:val="Heading2"/>
      </w:pPr>
      <w:r>
        <w:t xml:space="preserve">6. Pipeline Catalyst Calendar (the real value driver)</w:t>
      </w:r>
    </w:p>
    <w:p>
      <w:pPr>
        <w:pStyle w:val="FirstParagraph"/>
      </w:pPr>
      <w:r>
        <w:t xml:space="preserve">MRK framed 2026 as a "particularly robust period of Phase 3 readouts." Near-term regulatory/data events to listen for on the call: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Catalyst</w:t>
            </w:r>
          </w:p>
        </w:tc>
        <w:tc>
          <w:tcPr/>
          <w:p>
            <w:pPr>
              <w:pStyle w:val="Compact"/>
            </w:pPr>
            <w:r>
              <w:t xml:space="preserve">Timing</w:t>
            </w:r>
          </w:p>
        </w:tc>
        <w:tc>
          <w:tcPr/>
          <w:p>
            <w:pPr>
              <w:pStyle w:val="Compact"/>
            </w:pPr>
            <w:r>
              <w:t xml:space="preserve">Note</w:t>
            </w:r>
          </w:p>
        </w:tc>
      </w:tr>
      <w:tr>
        <w:tc>
          <w:tcPr/>
          <w:p>
            <w:pPr>
              <w:pStyle w:val="Compact"/>
            </w:pPr>
            <w:r>
              <w:rPr>
                <w:b/>
                <w:bCs/>
              </w:rPr>
              <w:t xml:space="preserve">KEYTRUDA + Padcev, MIBC</w:t>
            </w:r>
            <w:r>
              <w:t xml:space="preserve"> </w:t>
            </w:r>
            <w:r>
              <w:t xml:space="preserve">(KEYNOTE-B15)</w:t>
            </w:r>
          </w:p>
        </w:tc>
        <w:tc>
          <w:tcPr/>
          <w:p>
            <w:pPr>
              <w:pStyle w:val="Compact"/>
            </w:pPr>
            <w:r>
              <w:t xml:space="preserve">PDUFA</w:t>
            </w:r>
            <w:r>
              <w:t xml:space="preserve"> </w:t>
            </w:r>
            <w:r>
              <w:rPr>
                <w:b/>
                <w:bCs/>
              </w:rPr>
              <w:t xml:space="preserve">Aug 17</w:t>
            </w:r>
          </w:p>
        </w:tc>
        <w:tc>
          <w:tcPr/>
          <w:p>
            <w:pPr>
              <w:pStyle w:val="Compact"/>
            </w:pPr>
            <w:r>
              <w:t xml:space="preserve">Just days after earnings — potential 12th earlier-stage indication</w:t>
            </w:r>
          </w:p>
        </w:tc>
      </w:tr>
      <w:tr>
        <w:tc>
          <w:tcPr/>
          <w:p>
            <w:pPr>
              <w:pStyle w:val="Compact"/>
            </w:pPr>
            <w:r>
              <w:rPr>
                <w:b/>
                <w:bCs/>
              </w:rPr>
              <w:t xml:space="preserve">WELIREG + Lenvima, RCC</w:t>
            </w:r>
            <w:r>
              <w:t xml:space="preserve"> </w:t>
            </w:r>
            <w:r>
              <w:t xml:space="preserve">(LITESPARK-011)</w:t>
            </w:r>
          </w:p>
        </w:tc>
        <w:tc>
          <w:tcPr/>
          <w:p>
            <w:pPr>
              <w:pStyle w:val="Compact"/>
            </w:pPr>
            <w:r>
              <w:t xml:space="preserve">PDUFA</w:t>
            </w:r>
            <w:r>
              <w:t xml:space="preserve"> </w:t>
            </w:r>
            <w:r>
              <w:rPr>
                <w:b/>
                <w:bCs/>
              </w:rPr>
              <w:t xml:space="preserve">Oct 4</w:t>
            </w:r>
          </w:p>
        </w:tc>
        <w:tc>
          <w:tcPr/>
          <w:p>
            <w:pPr>
              <w:pStyle w:val="Compact"/>
            </w:pPr>
          </w:p>
        </w:tc>
      </w:tr>
      <w:tr>
        <w:tc>
          <w:tcPr/>
          <w:p>
            <w:pPr>
              <w:pStyle w:val="Compact"/>
            </w:pPr>
            <w:r>
              <w:rPr>
                <w:b/>
                <w:bCs/>
              </w:rPr>
              <w:t xml:space="preserve">I-DXd, ES-SCLC</w:t>
            </w:r>
            <w:r>
              <w:t xml:space="preserve"> </w:t>
            </w:r>
            <w:r>
              <w:t xml:space="preserve">(Daiichi collab)</w:t>
            </w:r>
          </w:p>
        </w:tc>
        <w:tc>
          <w:tcPr/>
          <w:p>
            <w:pPr>
              <w:pStyle w:val="Compact"/>
            </w:pPr>
            <w:r>
              <w:t xml:space="preserve">PDUFA</w:t>
            </w:r>
            <w:r>
              <w:t xml:space="preserve"> </w:t>
            </w:r>
            <w:r>
              <w:rPr>
                <w:b/>
                <w:bCs/>
              </w:rPr>
              <w:t xml:space="preserve">Oct 10</w:t>
            </w:r>
          </w:p>
        </w:tc>
        <w:tc>
          <w:tcPr/>
          <w:p>
            <w:pPr>
              <w:pStyle w:val="Compact"/>
            </w:pPr>
          </w:p>
        </w:tc>
      </w:tr>
      <w:tr>
        <w:tc>
          <w:tcPr/>
          <w:p>
            <w:pPr>
              <w:pStyle w:val="Compact"/>
            </w:pPr>
            <w:r>
              <w:rPr>
                <w:b/>
                <w:bCs/>
              </w:rPr>
              <w:t xml:space="preserve">WINREVAIR HYPERION</w:t>
            </w:r>
            <w:r>
              <w:t xml:space="preserve"> </w:t>
            </w:r>
            <w:r>
              <w:t xml:space="preserve">label update</w:t>
            </w:r>
          </w:p>
        </w:tc>
        <w:tc>
          <w:tcPr/>
          <w:p>
            <w:pPr>
              <w:pStyle w:val="Compact"/>
            </w:pPr>
            <w:r>
              <w:t xml:space="preserve">PDUFA</w:t>
            </w:r>
            <w:r>
              <w:t xml:space="preserve"> </w:t>
            </w:r>
            <w:r>
              <w:rPr>
                <w:b/>
                <w:bCs/>
              </w:rPr>
              <w:t xml:space="preserve">Sept 21</w:t>
            </w:r>
          </w:p>
        </w:tc>
        <w:tc>
          <w:tcPr/>
          <w:p>
            <w:pPr>
              <w:pStyle w:val="Compact"/>
            </w:pPr>
          </w:p>
        </w:tc>
      </w:tr>
      <w:tr>
        <w:tc>
          <w:tcPr/>
          <w:p>
            <w:pPr>
              <w:pStyle w:val="Compact"/>
            </w:pPr>
            <w:r>
              <w:rPr>
                <w:b/>
                <w:bCs/>
              </w:rPr>
              <w:t xml:space="preserve">Enlicitide</w:t>
            </w:r>
            <w:r>
              <w:t xml:space="preserve"> </w:t>
            </w:r>
            <w:r>
              <w:t xml:space="preserve">(oral PCSK9)</w:t>
            </w:r>
          </w:p>
        </w:tc>
        <w:tc>
          <w:tcPr/>
          <w:p>
            <w:pPr>
              <w:pStyle w:val="Compact"/>
            </w:pPr>
            <w:r>
              <w:t xml:space="preserve">H2 2026 approval via CNPV</w:t>
            </w:r>
          </w:p>
        </w:tc>
        <w:tc>
          <w:tcPr/>
          <w:p>
            <w:pPr>
              <w:pStyle w:val="Compact"/>
            </w:pPr>
            <w:r>
              <w:t xml:space="preserve">3 positive Phase 3 CORALreef readouts; large primary-cardiology TAM</w:t>
            </w:r>
          </w:p>
        </w:tc>
      </w:tr>
      <w:tr>
        <w:tc>
          <w:tcPr/>
          <w:p>
            <w:pPr>
              <w:pStyle w:val="Compact"/>
            </w:pPr>
            <w:r>
              <w:rPr>
                <w:b/>
                <w:bCs/>
              </w:rPr>
              <w:t xml:space="preserve">Tulisokibart</w:t>
            </w:r>
            <w:r>
              <w:t xml:space="preserve"> </w:t>
            </w:r>
            <w:r>
              <w:t xml:space="preserve">(TL1A)</w:t>
            </w:r>
          </w:p>
        </w:tc>
        <w:tc>
          <w:tcPr/>
          <w:p>
            <w:pPr>
              <w:pStyle w:val="Compact"/>
            </w:pPr>
            <w:r>
              <w:t xml:space="preserve">2026</w:t>
            </w:r>
          </w:p>
        </w:tc>
        <w:tc>
          <w:tcPr/>
          <w:p>
            <w:pPr>
              <w:pStyle w:val="Compact"/>
            </w:pPr>
            <w:r>
              <w:t xml:space="preserve">Phase 3 ATLAS-UC (ulcerative colitis) + Phase 2 fibrosis data</w:t>
            </w:r>
          </w:p>
        </w:tc>
      </w:tr>
      <w:tr>
        <w:tc>
          <w:tcPr/>
          <w:p>
            <w:pPr>
              <w:pStyle w:val="Compact"/>
            </w:pPr>
            <w:r>
              <w:rPr>
                <w:b/>
                <w:bCs/>
              </w:rPr>
              <w:t xml:space="preserve">WELIREG adjuvant RCC</w:t>
            </w:r>
            <w:r>
              <w:t xml:space="preserve"> </w:t>
            </w:r>
            <w:r>
              <w:t xml:space="preserve">(LITESPARK-022)</w:t>
            </w:r>
          </w:p>
        </w:tc>
        <w:tc>
          <w:tcPr/>
          <w:p>
            <w:pPr>
              <w:pStyle w:val="Compact"/>
            </w:pPr>
            <w:r>
              <w:t xml:space="preserve">PDUFA was June 19</w:t>
            </w:r>
          </w:p>
        </w:tc>
        <w:tc>
          <w:tcPr/>
          <w:p>
            <w:pPr>
              <w:pStyle w:val="Compact"/>
            </w:pPr>
            <w:r>
              <w:t xml:space="preserve">Look for approval confirmation</w:t>
            </w:r>
          </w:p>
        </w:tc>
      </w:tr>
    </w:tbl>
    <w:p>
      <w:pPr>
        <w:pStyle w:val="BodyText"/>
      </w:pPr>
      <w:r>
        <w:rPr>
          <w:b/>
          <w:bCs/>
        </w:rPr>
        <w:t xml:space="preserve">Mind the misses too:</w:t>
      </w:r>
      <w:r>
        <w:t xml:space="preserve"> </w:t>
      </w:r>
      <w:r>
        <w:t xml:space="preserve">Q1 brought setbacks —</w:t>
      </w:r>
      <w:r>
        <w:t xml:space="preserve"> </w:t>
      </w:r>
      <w:r>
        <w:rPr>
          <w:b/>
          <w:bCs/>
        </w:rPr>
        <w:t xml:space="preserve">LITESPARK-012</w:t>
      </w:r>
      <w:r>
        <w:t xml:space="preserve"> </w:t>
      </w:r>
      <w:r>
        <w:t xml:space="preserve">(RCC triplet),</w:t>
      </w:r>
      <w:r>
        <w:t xml:space="preserve"> </w:t>
      </w:r>
      <w:r>
        <w:rPr>
          <w:b/>
          <w:bCs/>
        </w:rPr>
        <w:t xml:space="preserve">KEYNOTE-975</w:t>
      </w:r>
      <w:r>
        <w:t xml:space="preserve"> </w:t>
      </w:r>
      <w:r>
        <w:t xml:space="preserve">(esophageal) and</w:t>
      </w:r>
      <w:r>
        <w:t xml:space="preserve"> </w:t>
      </w:r>
      <w:r>
        <w:rPr>
          <w:b/>
          <w:bCs/>
        </w:rPr>
        <w:t xml:space="preserve">KEYNOTE-866</w:t>
      </w:r>
      <w:r>
        <w:t xml:space="preserve"> </w:t>
      </w:r>
      <w:r>
        <w:t xml:space="preserve">(MIBC) all failed primary endpoints. Management downplayed read-through risk to ongoing WELIREG studies, but the pipeline is not without stumbles.</w:t>
      </w:r>
    </w:p>
    <w:p>
      <w:r>
        <w:pict>
          <v:rect style="width:0;height:1.5pt" o:hralign="center" o:hrstd="t" o:hr="t"/>
        </w:pict>
      </w:r>
    </w:p>
    <w:bookmarkEnd w:id="17"/>
    <w:bookmarkStart w:id="18" w:name="X8605551e4c9fe4269c5abc97bed3a132c562d4f"/>
    <w:p>
      <w:pPr>
        <w:pStyle w:val="Heading2"/>
      </w:pPr>
      <w:r>
        <w:t xml:space="preserve">7. HIV — Fresh Catalyst 24 Hours Before the Print</w:t>
      </w:r>
    </w:p>
    <w:p>
      <w:pPr>
        <w:pStyle w:val="FirstParagraph"/>
      </w:pPr>
      <w:r>
        <w:t xml:space="preserve">Notably, MRK held an</w:t>
      </w:r>
      <w:r>
        <w:t xml:space="preserve"> </w:t>
      </w:r>
      <w:r>
        <w:rPr>
          <w:b/>
          <w:bCs/>
        </w:rPr>
        <w:t xml:space="preserve">HIV investor event on August 3</w:t>
      </w:r>
      <w:r>
        <w:t xml:space="preserve"> </w:t>
      </w:r>
      <w:r>
        <w:t xml:space="preserve">(the day before earnings) recapping AIDS 2026 data. Positives to carry into the call:</w:t>
      </w:r>
    </w:p>
    <w:p>
      <w:pPr>
        <w:pStyle w:val="Compact"/>
        <w:numPr>
          <w:ilvl w:val="0"/>
          <w:numId w:val="1005"/>
        </w:numPr>
      </w:pPr>
      <w:r>
        <w:rPr>
          <w:b/>
          <w:bCs/>
        </w:rPr>
        <w:t xml:space="preserve">Positive Phase 3 ISLEND-1/-2 (islatravir + lenacapavir, w/ Gilead)</w:t>
      </w:r>
      <w:r>
        <w:t xml:space="preserve"> </w:t>
      </w:r>
      <w:r>
        <w:t xml:space="preserve">— non-inferior efficacy, &gt;90% viral suppression, no treatment-emergent resistance, high patient satisfaction — supporting the</w:t>
      </w:r>
      <w:r>
        <w:t xml:space="preserve"> </w:t>
      </w:r>
      <w:r>
        <w:rPr>
          <w:b/>
          <w:bCs/>
        </w:rPr>
        <w:t xml:space="preserve">first once-weekly oral HIV regimen</w:t>
      </w:r>
      <w:r>
        <w:t xml:space="preserve">.</w:t>
      </w:r>
    </w:p>
    <w:p>
      <w:pPr>
        <w:pStyle w:val="Compact"/>
        <w:numPr>
          <w:ilvl w:val="0"/>
          <w:numId w:val="1005"/>
        </w:numPr>
      </w:pPr>
      <w:r>
        <w:rPr>
          <w:b/>
          <w:bCs/>
        </w:rPr>
        <w:t xml:space="preserve">IDVYNSO</w:t>
      </w:r>
      <w:r>
        <w:t xml:space="preserve"> </w:t>
      </w:r>
      <w:r>
        <w:t xml:space="preserve">(doravirine/islatravir) — newly FDA-approved daily oral; early launch underway.</w:t>
      </w:r>
    </w:p>
    <w:p>
      <w:pPr>
        <w:pStyle w:val="Compact"/>
        <w:numPr>
          <w:ilvl w:val="0"/>
          <w:numId w:val="1005"/>
        </w:numPr>
      </w:pPr>
      <w:r>
        <w:t xml:space="preserve">A framed</w:t>
      </w:r>
      <w:r>
        <w:t xml:space="preserve"> </w:t>
      </w:r>
      <w:r>
        <w:rPr>
          <w:b/>
          <w:bCs/>
        </w:rPr>
        <w:t xml:space="preserve">&gt;$5B (non-risk-adjusted) HIV opportunity by the mid-2030s</w:t>
      </w:r>
      <w:r>
        <w:t xml:space="preserve"> </w:t>
      </w:r>
      <w:r>
        <w:t xml:space="preserve">across treatment (isla/lena, islatravir/ulonivirine) and monthly-oral PrEP (MK-8527).</w:t>
      </w:r>
    </w:p>
    <w:p>
      <w:pPr>
        <w:pStyle w:val="FirstParagraph"/>
      </w:pPr>
      <w:r>
        <w:t xml:space="preserve">Economics reminder: Gilead/Merck share global costs 60/40; on long-acting orals, Gilead leads U.S. commercialization, Merck ex-U.S., with revenues split 50/50 up to ~$2B then 65/35 Gilead thereafter.</w:t>
      </w:r>
    </w:p>
    <w:p>
      <w:r>
        <w:pict>
          <v:rect style="width:0;height:1.5pt" o:hralign="center" o:hrstd="t" o:hr="t"/>
        </w:pict>
      </w:r>
    </w:p>
    <w:bookmarkEnd w:id="18"/>
    <w:bookmarkStart w:id="19" w:name="X294c14f756bc8a839eac09c864c8ebcaa7c6b42"/>
    <w:p>
      <w:pPr>
        <w:pStyle w:val="Heading2"/>
      </w:pPr>
      <w:r>
        <w:t xml:space="preserve">8. Strategic Backdrop</w:t>
      </w:r>
    </w:p>
    <w:p>
      <w:pPr>
        <w:pStyle w:val="Compact"/>
        <w:numPr>
          <w:ilvl w:val="0"/>
          <w:numId w:val="1006"/>
        </w:numPr>
      </w:pPr>
      <w:r>
        <w:rPr>
          <w:b/>
          <w:bCs/>
        </w:rPr>
        <w:t xml:space="preserve">BD remains a lever:</w:t>
      </w:r>
      <w:r>
        <w:t xml:space="preserve"> </w:t>
      </w:r>
      <w:r>
        <w:t xml:space="preserve">Following Cidara, Verona, EyeBio and Terns, management reiterated a</w:t>
      </w:r>
      <w:r>
        <w:t xml:space="preserve"> </w:t>
      </w:r>
      <w:r>
        <w:rPr>
          <w:b/>
          <w:bCs/>
        </w:rPr>
        <w:t xml:space="preserve">$1–15B "sweet spot"</w:t>
      </w:r>
      <w:r>
        <w:t xml:space="preserve"> </w:t>
      </w:r>
      <w:r>
        <w:t xml:space="preserve">with capacity to go larger, focused on oncology, immunology and cardiometabolic. Expect questions on further capital deployment vs. balance sheet.</w:t>
      </w:r>
    </w:p>
    <w:p>
      <w:pPr>
        <w:pStyle w:val="Compact"/>
        <w:numPr>
          <w:ilvl w:val="0"/>
          <w:numId w:val="1006"/>
        </w:numPr>
      </w:pPr>
      <w:r>
        <w:rPr>
          <w:b/>
          <w:bCs/>
        </w:rPr>
        <w:t xml:space="preserve">Commercial reorganization:</w:t>
      </w:r>
      <w:r>
        <w:t xml:space="preserve"> </w:t>
      </w:r>
      <w:r>
        <w:t xml:space="preserve">New therapeutic-area business-unit model (new leaders Brian Foard, Jannie Oosthuizen, Chirfi Guindo) built to execute the 20+ launch wave.</w:t>
      </w:r>
    </w:p>
    <w:p>
      <w:pPr>
        <w:pStyle w:val="Compact"/>
        <w:numPr>
          <w:ilvl w:val="0"/>
          <w:numId w:val="1006"/>
        </w:numPr>
      </w:pPr>
      <w:r>
        <w:rPr>
          <w:b/>
          <w:bCs/>
        </w:rPr>
        <w:t xml:space="preserve">AI push:</w:t>
      </w:r>
      <w:r>
        <w:t xml:space="preserve"> </w:t>
      </w:r>
      <w:r>
        <w:t xml:space="preserve">New partnerships with Google Cloud, Tempus AI and Mayo Clinic to drive R&amp;D productivity.</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Expect a</w:t>
      </w:r>
      <w:r>
        <w:t xml:space="preserve"> </w:t>
      </w:r>
      <w:r>
        <w:rPr>
          <w:b/>
          <w:bCs/>
        </w:rPr>
        <w:t xml:space="preserve">GAAP loss driven by the Terns charge that is not a fundamental negative</w:t>
      </w:r>
      <w:r>
        <w:t xml:space="preserve"> </w:t>
      </w:r>
      <w:r>
        <w:t xml:space="preserve">— the story is organic growth ex-Keytruda-timing and the guidance trajectory. The three swing factors for the stock's reaction:</w:t>
      </w:r>
    </w:p>
    <w:p>
      <w:pPr>
        <w:pStyle w:val="Compact"/>
        <w:numPr>
          <w:ilvl w:val="0"/>
          <w:numId w:val="1007"/>
        </w:numPr>
      </w:pPr>
      <w:r>
        <w:rPr>
          <w:b/>
          <w:bCs/>
        </w:rPr>
        <w:t xml:space="preserve">Gardasil</w:t>
      </w:r>
      <w:r>
        <w:t xml:space="preserve"> </w:t>
      </w:r>
      <w:r>
        <w:t xml:space="preserve">— does China stabilize or deteriorate further?</w:t>
      </w:r>
    </w:p>
    <w:p>
      <w:pPr>
        <w:pStyle w:val="Compact"/>
        <w:numPr>
          <w:ilvl w:val="0"/>
          <w:numId w:val="1007"/>
        </w:numPr>
      </w:pPr>
      <w:r>
        <w:rPr>
          <w:b/>
          <w:bCs/>
        </w:rPr>
        <w:t xml:space="preserve">Guidance</w:t>
      </w:r>
      <w:r>
        <w:t xml:space="preserve"> </w:t>
      </w:r>
      <w:r>
        <w:t xml:space="preserve">— another raise, and how Terns is treated?</w:t>
      </w:r>
    </w:p>
    <w:p>
      <w:pPr>
        <w:pStyle w:val="Compact"/>
        <w:numPr>
          <w:ilvl w:val="0"/>
          <w:numId w:val="1007"/>
        </w:numPr>
      </w:pPr>
      <w:r>
        <w:rPr>
          <w:b/>
          <w:bCs/>
        </w:rPr>
        <w:t xml:space="preserve">Keytruda + new-launch momentum</w:t>
      </w:r>
      <w:r>
        <w:t xml:space="preserve"> </w:t>
      </w:r>
      <w:r>
        <w:t xml:space="preserve">(QLEX conversion, WINREVAIR, CAPVAXIVE) — evidence the &gt;$70B diversification story is on track ahead of the 2028 cliff.</w:t>
      </w:r>
    </w:p>
    <w:p>
      <w:pPr>
        <w:pStyle w:val="FirstParagraph"/>
      </w:pPr>
      <w:r>
        <w:t xml:space="preserve">With the stock up ~20% YTD and sentiment improving, the risk/reward is more balanced than it was in April — clean execution and a confident H2 catalyst narrative are likely needed to extend the rally, while a Gardasil miss or cautious tone are the most probable sources of downside.</w:t>
      </w:r>
    </w:p>
    <w:p>
      <w:pPr>
        <w:pStyle w:val="BodyText"/>
      </w:pPr>
      <w:r>
        <w:rPr>
          <w:i/>
          <w:iCs/>
        </w:rPr>
        <w:t xml:space="preserve">Note: This preview is based on Merck's Q1 2026 earnings materials (reported April 30, 2026), the August 3 HIV investor event, recent news, and market data. It is for informational purposes and is not investment advice.</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2026-08-04T00:55:37Z</dcterms:created>
  <dcterms:modified xsi:type="dcterms:W3CDTF">2026-08-04T00:55:37Z</dcterms:modified>
</cp:coreProperties>
</file>

<file path=docProps/custom.xml><?xml version="1.0" encoding="utf-8"?>
<Properties xmlns="http://schemas.openxmlformats.org/officeDocument/2006/custom-properties" xmlns:vt="http://schemas.openxmlformats.org/officeDocument/2006/docPropsVTypes"/>
</file>