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i-earnings-predictions--2026-08-05"/>
    <w:p>
      <w:pPr>
        <w:pStyle w:val="Heading1"/>
      </w:pPr>
      <w:r>
        <w:t xml:space="preserve">MSI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~$3.92 vs. cons $3.86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~$3.01B vs. cons $2.98B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Products &amp; SI (P&amp;SI) non-GAAP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~24.8% vs. cons ~25.7%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~$17.05 midpoint vs. cons $16.98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~$12.85B vs. cons $12.82B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margin expansion (reaffirm)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~+100 bps vs. cons ~+90 bps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EPS guide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~$4.02 vs. cons $4.08 (Q3-26)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~$3.0B vs. cons $3.0B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MSI rallied ~+10% in the two weeks into the print (from ~</w:t>
            </w:r>
            <m:oMath>
              <m:r>
                <m:t>404</m:t>
              </m:r>
              <m:r>
                <m:t>o</m:t>
              </m:r>
              <m:r>
                <m:t>n</m:t>
              </m:r>
              <m:r>
                <m:t>7</m:t>
              </m:r>
              <m:r>
                <m:rPr>
                  <m:sty m:val="p"/>
                </m:rPr>
                <m:t>/</m:t>
              </m:r>
              <m:r>
                <m:t>22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443 on 8/4), setting a high bar. The Q1 template — a beat-and-raise still sold off ~11% on the memory/tariff margin and FCF overhang — is the base case: headline EPS/revenue beat and another FX/Silvus-led top-line raise, but soft P&amp;SI margin and muted FCF reignite the peak-margin debate. Out-period math is unfavorable: the FY raise is largely FX + Silvus rather than core margin, so estimate revisions on EPS/FCF stay flat-to-down even after the beat, giving little fuel for follow-through. Expect an initial negative reaction that continues to bleed as sell-side trims margin assumptions and the pre-print run-up unwinds; STABILIZE only if P&amp;SI margin holds sequentially and management sounds confident on memory-cost price offsets.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2026-08-05T01:03:17Z</dcterms:created>
  <dcterms:modified xsi:type="dcterms:W3CDTF">2026-08-05T01:03:17Z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