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MSI (Motorola Solutions) before writing the preview. Let me gather recent earnings, guidance, and news.Let me read the Q1 2026 transcript and release, and check recent news and stock performance.Let me get stock price performance and check for any recent news via web search.Let me check for recent news and context around the Q1 selloff and any developments heading into Q2.Let me get the analyst preview details and consensus estimates for Q2.I now have what I need. Here's the earnings preview.</w:t>
      </w:r>
    </w:p>
    <w:p>
      <w:r>
        <w:pict>
          <v:rect style="width:0;height:1.5pt" o:hralign="center" o:hrstd="t" o:hr="t"/>
        </w:pict>
      </w:r>
    </w:p>
    <w:bookmarkStart w:id="19" w:name="Xc70ae10a923a4673774b2a28c44baf56aa8b71f"/>
    <w:p>
      <w:pPr>
        <w:pStyle w:val="Heading1"/>
      </w:pPr>
      <w:r>
        <w:t xml:space="preserve">Motorola Solutions (MSI) — Q2 2026 Earnings Preview</w:t>
      </w:r>
    </w:p>
    <w:p>
      <w:pPr>
        <w:pStyle w:val="FirstParagraph"/>
      </w:pPr>
      <w:r>
        <w:rPr>
          <w:b/>
          <w:bCs/>
        </w:rPr>
        <w:t xml:space="preserve">Report date:</w:t>
      </w:r>
      <w:r>
        <w:t xml:space="preserve"> </w:t>
      </w:r>
      <w:r>
        <w:t xml:space="preserve">After the close, Wednesday, August 5, 2026 · Conference call 4:00 p.m. Central</w:t>
      </w:r>
      <w:r>
        <w:t xml:space="preserve"> </w:t>
      </w:r>
      <w:r>
        <w:rPr>
          <w:b/>
          <w:bCs/>
        </w:rPr>
        <w:t xml:space="preserve">Stock:</w:t>
      </w:r>
      <w:r>
        <w:t xml:space="preserve"> </w:t>
      </w:r>
      <w:r>
        <w:t xml:space="preserve">~$443 (Aug 4 close) · roughly flat over the trailing 12 months</w:t>
      </w:r>
    </w:p>
    <w:p>
      <w:r>
        <w:pict>
          <v:rect style="width:0;height:1.5pt" o:hralign="center" o:hrstd="t" o:hr="t"/>
        </w:pict>
      </w:r>
    </w:p>
    <w:bookmarkStart w:id="9" w:name="the-setup"/>
    <w:p>
      <w:pPr>
        <w:pStyle w:val="Heading2"/>
      </w:pPr>
      <w:r>
        <w:t xml:space="preserve">The Setup</w:t>
      </w:r>
    </w:p>
    <w:p>
      <w:pPr>
        <w:pStyle w:val="FirstParagraph"/>
      </w:pPr>
      <w:r>
        <w:t xml:space="preserve">Motorola Solutions comes into Q2 as a company that keeps beating and raising, yet whose stock has gone essentially nowhere for a year. MSI closed at ~$437 in early August 2025, peaked near</w:t>
      </w:r>
      <w:r>
        <w:t xml:space="preserve"> </w:t>
      </w:r>
      <m:oMath>
        <m:r>
          <m:t>490</m:t>
        </m:r>
        <m:r>
          <m:t>i</m:t>
        </m:r>
        <m:r>
          <m:t>n</m:t>
        </m:r>
        <m:r>
          <m:t>S</m:t>
        </m:r>
        <m:r>
          <m:t>e</m:t>
        </m:r>
        <m:r>
          <m:t>p</m:t>
        </m:r>
        <m:r>
          <m:t>t</m:t>
        </m:r>
        <m:r>
          <m:t>e</m:t>
        </m:r>
        <m:r>
          <m:t>m</m:t>
        </m:r>
        <m:r>
          <m:t>b</m:t>
        </m:r>
        <m:r>
          <m:t>e</m:t>
        </m:r>
        <m:r>
          <m:t>r</m:t>
        </m:r>
        <m:r>
          <m:rPr>
            <m:sty m:val="p"/>
          </m:rPr>
          <m:t>,</m:t>
        </m:r>
        <m:r>
          <m:t>s</m:t>
        </m:r>
        <m:r>
          <m:t>o</m:t>
        </m:r>
        <m:r>
          <m:t>l</m:t>
        </m:r>
        <m:r>
          <m:t>d</m:t>
        </m:r>
        <m:r>
          <m:t>o</m:t>
        </m:r>
        <m:r>
          <m:t>f</m:t>
        </m:r>
        <m:r>
          <m:t>f</m:t>
        </m:r>
        <m:r>
          <m:t>t</m:t>
        </m:r>
        <m:r>
          <m:t>o</m:t>
        </m:r>
        <m:r>
          <m:t>t</m:t>
        </m:r>
        <m:r>
          <m:t>h</m:t>
        </m:r>
        <m:r>
          <m:t>e</m:t>
        </m:r>
        <m:r>
          <m:t>m</m:t>
        </m:r>
        <m:r>
          <m:t>i</m:t>
        </m:r>
        <m:r>
          <m:t>d</m:t>
        </m:r>
        <m:r>
          <m:rPr>
            <m:sty m:val="p"/>
          </m:rPr>
          <m:t>−</m:t>
        </m:r>
      </m:oMath>
      <w:r>
        <w:t xml:space="preserve">360s by late November, and has since clawed back to ~</w:t>
      </w:r>
      <m:oMath>
        <m:r>
          <m:t>443</m:t>
        </m:r>
        <m:r>
          <m:rPr>
            <m:sty m:val="p"/>
          </m:rPr>
          <m:t>.</m:t>
        </m:r>
        <m:r>
          <m:t>T</m:t>
        </m:r>
        <m:r>
          <m:t>h</m:t>
        </m:r>
        <m:r>
          <m:t>e</m:t>
        </m:r>
        <m:r>
          <m:t>m</m:t>
        </m:r>
        <m:r>
          <m:t>o</m:t>
        </m:r>
        <m:r>
          <m:t>s</m:t>
        </m:r>
        <m:r>
          <m:t>t</m:t>
        </m:r>
        <m:r>
          <m:t>i</m:t>
        </m:r>
        <m:r>
          <m:t>n</m:t>
        </m:r>
        <m:r>
          <m:t>s</m:t>
        </m:r>
        <m:r>
          <m:t>t</m:t>
        </m:r>
        <m:r>
          <m:t>r</m:t>
        </m:r>
        <m:r>
          <m:t>u</m:t>
        </m:r>
        <m:r>
          <m:t>c</m:t>
        </m:r>
        <m:r>
          <m:t>t</m:t>
        </m:r>
        <m:r>
          <m:t>i</m:t>
        </m:r>
        <m:r>
          <m:t>v</m:t>
        </m:r>
        <m:r>
          <m:t>e</m:t>
        </m:r>
        <m:r>
          <m:t>m</m:t>
        </m:r>
        <m:r>
          <m:t>o</m:t>
        </m:r>
        <m:r>
          <m:t>v</m:t>
        </m:r>
        <m:r>
          <m:t>e</m:t>
        </m:r>
        <m:r>
          <m:t>f</m:t>
        </m:r>
        <m:r>
          <m:t>o</m:t>
        </m:r>
        <m:r>
          <m:t>r</m:t>
        </m:r>
        <m:r>
          <m:t>t</m:t>
        </m:r>
        <m:r>
          <m:t>h</m:t>
        </m:r>
        <m:r>
          <m:t>i</m:t>
        </m:r>
        <m:r>
          <m:t>s</m:t>
        </m:r>
        <m:r>
          <m:t>p</m:t>
        </m:r>
        <m:r>
          <m:t>r</m:t>
        </m:r>
        <m:r>
          <m:t>i</m:t>
        </m:r>
        <m:r>
          <m:t>n</m:t>
        </m:r>
        <m:r>
          <m:t>t</m:t>
        </m:r>
        <m:r>
          <m:t>h</m:t>
        </m:r>
        <m:r>
          <m:t>a</m:t>
        </m:r>
        <m:r>
          <m:t>p</m:t>
        </m:r>
        <m:r>
          <m:t>p</m:t>
        </m:r>
        <m:r>
          <m:t>e</m:t>
        </m:r>
        <m:r>
          <m:t>n</m:t>
        </m:r>
        <m:r>
          <m:t>e</m:t>
        </m:r>
        <m:r>
          <m:t>d</m:t>
        </m:r>
        <m:r>
          <m:t>t</m:t>
        </m:r>
        <m:r>
          <m:t>h</m:t>
        </m:r>
        <m:r>
          <m:t>r</m:t>
        </m:r>
        <m:r>
          <m:t>e</m:t>
        </m:r>
        <m:r>
          <m:t>e</m:t>
        </m:r>
        <m:r>
          <m:t>m</m:t>
        </m:r>
        <m:r>
          <m:t>o</m:t>
        </m:r>
        <m:r>
          <m:t>n</m:t>
        </m:r>
        <m:r>
          <m:t>t</m:t>
        </m:r>
        <m:r>
          <m:t>h</m:t>
        </m:r>
        <m:r>
          <m:t>s</m:t>
        </m:r>
        <m:r>
          <m:t>a</m:t>
        </m:r>
        <m:r>
          <m:t>g</m:t>
        </m:r>
        <m:r>
          <m:t>o</m:t>
        </m:r>
        <m:r>
          <m:rPr>
            <m:sty m:val="p"/>
          </m:rPr>
          <m:t>:</m:t>
        </m:r>
        <m:r>
          <m:rPr>
            <m:sty m:val="p"/>
          </m:rPr>
          <m:t>*</m:t>
        </m:r>
        <m:r>
          <m:rPr>
            <m:sty m:val="p"/>
          </m:rPr>
          <m:t>*</m:t>
        </m:r>
        <m:r>
          <m:t>d</m:t>
        </m:r>
        <m:r>
          <m:t>e</m:t>
        </m:r>
        <m:r>
          <m:t>s</m:t>
        </m:r>
        <m:r>
          <m:t>p</m:t>
        </m:r>
        <m:r>
          <m:t>i</m:t>
        </m:r>
        <m:r>
          <m:t>t</m:t>
        </m:r>
        <m:r>
          <m:t>e</m:t>
        </m:r>
        <m:r>
          <m:t>a</m:t>
        </m:r>
        <m:r>
          <m:t>Q</m:t>
        </m:r>
        <m:r>
          <m:t>1</m:t>
        </m:r>
        <m:r>
          <m:t>b</m:t>
        </m:r>
        <m:r>
          <m:t>e</m:t>
        </m:r>
        <m:r>
          <m:t>a</m:t>
        </m:r>
        <m:r>
          <m:t>t</m:t>
        </m:r>
        <m:r>
          <m:t>a</m:t>
        </m:r>
        <m:r>
          <m:t>n</m:t>
        </m:r>
        <m:r>
          <m:t>d</m:t>
        </m:r>
        <m:r>
          <m:t>a</m:t>
        </m:r>
        <m:r>
          <m:t>g</m:t>
        </m:r>
        <m:r>
          <m:t>u</m:t>
        </m:r>
        <m:r>
          <m:t>i</m:t>
        </m:r>
        <m:r>
          <m:t>d</m:t>
        </m:r>
        <m:r>
          <m:t>a</m:t>
        </m:r>
        <m:r>
          <m:t>n</m:t>
        </m:r>
        <m:r>
          <m:t>c</m:t>
        </m:r>
        <m:r>
          <m:t>e</m:t>
        </m:r>
        <m:r>
          <m:t>r</m:t>
        </m:r>
        <m:r>
          <m:t>a</m:t>
        </m:r>
        <m:r>
          <m:t>i</m:t>
        </m:r>
        <m:r>
          <m:t>s</m:t>
        </m:r>
        <m:r>
          <m:t>e</m:t>
        </m:r>
        <m:r>
          <m:rPr>
            <m:sty m:val="p"/>
          </m:rPr>
          <m:t>,</m:t>
        </m:r>
        <m:r>
          <m:t>t</m:t>
        </m:r>
        <m:r>
          <m:t>h</m:t>
        </m:r>
        <m:r>
          <m:t>e</m:t>
        </m:r>
        <m:r>
          <m:t>s</m:t>
        </m:r>
        <m:r>
          <m:t>t</m:t>
        </m:r>
        <m:r>
          <m:t>o</m:t>
        </m:r>
        <m:r>
          <m:t>c</m:t>
        </m:r>
        <m:r>
          <m:t>k</m:t>
        </m:r>
        <m:r>
          <m:t>f</m:t>
        </m:r>
        <m:r>
          <m:t>e</m:t>
        </m:r>
        <m:r>
          <m:t>l</m:t>
        </m:r>
        <m:r>
          <m:t>l</m:t>
        </m:r>
        <m:r>
          <m:t> </m:t>
        </m:r>
        <m:r>
          <m:t>11</m:t>
        </m:r>
      </m:oMath>
      <w:r>
        <w:t xml:space="preserve">433 to ~$384)**. That reaction is the central tension going into Q2.</w:t>
      </w:r>
    </w:p>
    <w:p>
      <w:pPr>
        <w:pStyle w:val="BodyText"/>
      </w:pPr>
      <w:r>
        <w:t xml:space="preserve">The bull case (record orders and backlog, an accelerating software mix, and a fast-growing defense franchise in Silvus) is intact. The bear case is entirely about</w:t>
      </w:r>
      <w:r>
        <w:t xml:space="preserve"> </w:t>
      </w:r>
      <w:r>
        <w:rPr>
          <w:b/>
          <w:bCs/>
        </w:rPr>
        <w:t xml:space="preserve">margins and cash flow</w:t>
      </w:r>
      <w:r>
        <w:t xml:space="preserve"> </w:t>
      </w:r>
      <w:r>
        <w:t xml:space="preserve">— GAAP operating margin fell to 19.3% from 23% a year ago, free cash flow declined, and management flagged a doubling of memory costs plus tariff headwinds. Q2 is the quarter to see whether the margin/cost narrative stabilizes.</w:t>
      </w:r>
    </w:p>
    <w:p>
      <w:r>
        <w:pict>
          <v:rect style="width:0;height:1.5pt" o:hralign="center" o:hrstd="t" o:hr="t"/>
        </w:pict>
      </w:r>
    </w:p>
    <w:bookmarkEnd w:id="9"/>
    <w:bookmarkStart w:id="10" w:name="the-bar-to-clear"/>
    <w:p>
      <w:pPr>
        <w:pStyle w:val="Heading2"/>
      </w:pPr>
      <w:r>
        <w:t xml:space="preserve">The Bar to Clear</w:t>
      </w:r>
    </w:p>
    <w:p>
      <w:pPr>
        <w:pStyle w:val="FirstParagraph"/>
      </w:pPr>
      <w:r>
        <w:t xml:space="preserve">Management's own Q1 guidance sets the expectations for this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Context</w:t>
            </w:r>
          </w:p>
        </w:tc>
      </w:tr>
      <w:tr>
        <w:tc>
          <w:tcPr/>
          <w:p>
            <w:pPr>
              <w:pStyle w:val="Compact"/>
            </w:pPr>
            <w:r>
              <w:t xml:space="preserve">Revenue growth</w:t>
            </w:r>
          </w:p>
        </w:tc>
        <w:tc>
          <w:tcPr/>
          <w:p>
            <w:pPr>
              <w:pStyle w:val="Compact"/>
            </w:pPr>
            <w:r>
              <w:rPr>
                <w:b/>
                <w:bCs/>
              </w:rPr>
              <w:t xml:space="preserve">~8.5% YoY</w:t>
            </w:r>
          </w:p>
        </w:tc>
        <w:tc>
          <w:tcPr/>
          <w:p>
            <w:pPr>
              <w:pStyle w:val="Compact"/>
            </w:pPr>
            <w:r>
              <w:t xml:space="preserve">Accelerating from +7% in Q1</w:t>
            </w:r>
          </w:p>
        </w:tc>
      </w:tr>
      <w:tr>
        <w:tc>
          <w:tcPr/>
          <w:p>
            <w:pPr>
              <w:pStyle w:val="Compact"/>
            </w:pPr>
            <w:r>
              <w:t xml:space="preserve">Non-GAAP EPS</w:t>
            </w:r>
          </w:p>
        </w:tc>
        <w:tc>
          <w:tcPr/>
          <w:p>
            <w:pPr>
              <w:pStyle w:val="Compact"/>
            </w:pPr>
            <w:r>
              <w:rPr>
                <w:b/>
                <w:bCs/>
              </w:rPr>
              <w:t xml:space="preserve">$3.82 – $3.88</w:t>
            </w:r>
          </w:p>
        </w:tc>
        <w:tc>
          <w:tcPr/>
          <w:p>
            <w:pPr>
              <w:pStyle w:val="Compact"/>
            </w:pPr>
            <w:r>
              <w:t xml:space="preserve">Midpoint ~$3.85</w:t>
            </w:r>
          </w:p>
        </w:tc>
      </w:tr>
      <w:tr>
        <w:tc>
          <w:tcPr/>
          <w:p>
            <w:pPr>
              <w:pStyle w:val="Compact"/>
            </w:pPr>
            <w:r>
              <w:t xml:space="preserve">Diluted shares</w:t>
            </w:r>
          </w:p>
        </w:tc>
        <w:tc>
          <w:tcPr/>
          <w:p>
            <w:pPr>
              <w:pStyle w:val="Compact"/>
            </w:pPr>
            <w:r>
              <w:t xml:space="preserve">~168M</w:t>
            </w:r>
          </w:p>
        </w:tc>
        <w:tc>
          <w:tcPr/>
          <w:p>
            <w:pPr>
              <w:pStyle w:val="Compact"/>
            </w:pPr>
          </w:p>
        </w:tc>
      </w:tr>
      <w:tr>
        <w:tc>
          <w:tcPr/>
          <w:p>
            <w:pPr>
              <w:pStyle w:val="Compact"/>
            </w:pPr>
            <w:r>
              <w:t xml:space="preserve">Non-GAAP tax rate</w:t>
            </w:r>
          </w:p>
        </w:tc>
        <w:tc>
          <w:tcPr/>
          <w:p>
            <w:pPr>
              <w:pStyle w:val="Compact"/>
            </w:pPr>
            <w:r>
              <w:t xml:space="preserve">~23%</w:t>
            </w:r>
          </w:p>
        </w:tc>
        <w:tc>
          <w:tcPr/>
          <w:p>
            <w:pPr>
              <w:pStyle w:val="Compact"/>
            </w:pPr>
          </w:p>
        </w:tc>
      </w:tr>
    </w:tbl>
    <w:p>
      <w:pPr>
        <w:pStyle w:val="BodyText"/>
      </w:pPr>
      <w:r>
        <w:t xml:space="preserve">MSI has</w:t>
      </w:r>
      <w:r>
        <w:t xml:space="preserve"> </w:t>
      </w:r>
      <w:r>
        <w:rPr>
          <w:b/>
          <w:bCs/>
        </w:rPr>
        <w:t xml:space="preserve">beaten Street EPS in each of the last four quarters</w:t>
      </w:r>
      <w:r>
        <w:t xml:space="preserve"> </w:t>
      </w:r>
      <w:r>
        <w:t xml:space="preserve">(Q1 surprise ~3.7%, trailing four-quarter average ~5.2%), so the "beat" is close to priced in. The more important thing to watch is whether management</w:t>
      </w:r>
      <w:r>
        <w:t xml:space="preserve"> </w:t>
      </w:r>
      <w:r>
        <w:rPr>
          <w:b/>
          <w:bCs/>
        </w:rPr>
        <w:t xml:space="preserve">raises full-year guidance again</w:t>
      </w:r>
      <w:r>
        <w:t xml:space="preserve"> </w:t>
      </w:r>
      <w:r>
        <w:t xml:space="preserve">and, critically, whether it does so on the</w:t>
      </w:r>
      <w:r>
        <w:t xml:space="preserve"> </w:t>
      </w:r>
      <w:r>
        <w:rPr>
          <w:i/>
          <w:iCs/>
        </w:rPr>
        <w:t xml:space="preserve">top line</w:t>
      </w:r>
      <w:r>
        <w:t xml:space="preserve"> </w:t>
      </w:r>
      <w:r>
        <w:t xml:space="preserve">without conceding on margins.</w:t>
      </w:r>
    </w:p>
    <w:p>
      <w:pPr>
        <w:pStyle w:val="BodyText"/>
      </w:pPr>
      <w:r>
        <w:rPr>
          <w:b/>
          <w:bCs/>
        </w:rPr>
        <w:t xml:space="preserve">Full-year 2026 guide (raised at Q1):</w:t>
      </w:r>
    </w:p>
    <w:p>
      <w:pPr>
        <w:pStyle w:val="Compact"/>
        <w:numPr>
          <w:ilvl w:val="0"/>
          <w:numId w:val="1001"/>
        </w:numPr>
      </w:pPr>
      <w:r>
        <w:t xml:space="preserve">Revenue ~</w:t>
      </w:r>
      <w:r>
        <w:rPr>
          <w:b/>
          <w:bCs/>
        </w:rPr>
        <w:t xml:space="preserve">$12.8B</w:t>
      </w:r>
      <w:r>
        <w:t xml:space="preserve"> </w:t>
      </w:r>
      <w:r>
        <w:t xml:space="preserve">(up from $12.7B prior)</w:t>
      </w:r>
    </w:p>
    <w:p>
      <w:pPr>
        <w:pStyle w:val="Compact"/>
        <w:numPr>
          <w:ilvl w:val="0"/>
          <w:numId w:val="1001"/>
        </w:numPr>
      </w:pPr>
      <w:r>
        <w:t xml:space="preserve">Non-GAAP EPS</w:t>
      </w:r>
      <w:r>
        <w:t xml:space="preserve"> </w:t>
      </w:r>
      <w:r>
        <w:rPr>
          <w:b/>
          <w:bCs/>
        </w:rPr>
        <w:t xml:space="preserve">$16.87 – $16.99</w:t>
      </w:r>
      <w:r>
        <w:t xml:space="preserve"> </w:t>
      </w:r>
      <w:r>
        <w:t xml:space="preserve">(up from</w:t>
      </w:r>
      <w:r>
        <w:t xml:space="preserve"> </w:t>
      </w:r>
      <m:oMath>
        <m:r>
          <m:t>16.70</m:t>
        </m:r>
        <m:r>
          <m:rPr>
            <m:sty m:val="p"/>
          </m:rPr>
          <m:t>–</m:t>
        </m:r>
      </m:oMath>
      <w:r>
        <w:t xml:space="preserve">16.85)</w:t>
      </w:r>
    </w:p>
    <w:p>
      <w:pPr>
        <w:pStyle w:val="Compact"/>
        <w:numPr>
          <w:ilvl w:val="0"/>
          <w:numId w:val="1001"/>
        </w:numPr>
      </w:pPr>
      <w:r>
        <w:t xml:space="preserve">Operating cash flow ~</w:t>
      </w:r>
      <w:r>
        <w:rPr>
          <w:b/>
          <w:bCs/>
        </w:rPr>
        <w:t xml:space="preserve">$3B</w:t>
      </w:r>
    </w:p>
    <w:p>
      <w:pPr>
        <w:pStyle w:val="Compact"/>
        <w:numPr>
          <w:ilvl w:val="0"/>
          <w:numId w:val="1001"/>
        </w:numPr>
      </w:pPr>
      <w:r>
        <w:t xml:space="preserve">Operating margin expansion of</w:t>
      </w:r>
      <w:r>
        <w:t xml:space="preserve"> </w:t>
      </w:r>
      <w:r>
        <w:rPr>
          <w:b/>
          <w:bCs/>
        </w:rPr>
        <w:t xml:space="preserve">~100 bps</w:t>
      </w:r>
      <w:r>
        <w:t xml:space="preserve"> </w:t>
      </w:r>
      <w:r>
        <w:t xml:space="preserve">for the year, in</w:t>
      </w:r>
      <w:r>
        <w:t xml:space="preserve"> </w:t>
      </w:r>
      <w:r>
        <w:rPr>
          <w:i/>
          <w:iCs/>
        </w:rPr>
        <w:t xml:space="preserve">both</w:t>
      </w:r>
      <w:r>
        <w:t xml:space="preserve"> </w:t>
      </w:r>
      <w:r>
        <w:t xml:space="preserve">segments</w:t>
      </w:r>
    </w:p>
    <w:p>
      <w:pPr>
        <w:pStyle w:val="Compact"/>
        <w:numPr>
          <w:ilvl w:val="0"/>
          <w:numId w:val="1001"/>
        </w:numPr>
      </w:pPr>
      <w:r>
        <w:t xml:space="preserve">FX tailwind ~$100M</w:t>
      </w:r>
    </w:p>
    <w:p>
      <w:r>
        <w:pict>
          <v:rect style="width:0;height:1.5pt" o:hralign="center" o:hrstd="t" o:hr="t"/>
        </w:pict>
      </w:r>
    </w:p>
    <w:bookmarkEnd w:id="10"/>
    <w:bookmarkStart w:id="16" w:name="what-actually-matters-this-quarter"/>
    <w:p>
      <w:pPr>
        <w:pStyle w:val="Heading2"/>
      </w:pPr>
      <w:r>
        <w:t xml:space="preserve">What Actually Matters This Quarter</w:t>
      </w:r>
    </w:p>
    <w:bookmarkStart w:id="11" w:name="X634eb51f395df7fd950ba8f51b64762e38787e0"/>
    <w:p>
      <w:pPr>
        <w:pStyle w:val="Heading3"/>
      </w:pPr>
      <w:r>
        <w:t xml:space="preserve">1. Margins &amp; the memory/tariff overhang (the real debate)</w:t>
      </w:r>
    </w:p>
    <w:p>
      <w:pPr>
        <w:pStyle w:val="FirstParagraph"/>
      </w:pPr>
      <w:r>
        <w:t xml:space="preserve">This is why the stock fell in May. Management is guiding to</w:t>
      </w:r>
      <w:r>
        <w:t xml:space="preserve"> </w:t>
      </w:r>
      <w:r>
        <w:rPr>
          <w:b/>
          <w:bCs/>
        </w:rPr>
        <w:t xml:space="preserve">~100 bps of full-year operating margin expansion</w:t>
      </w:r>
      <w:r>
        <w:t xml:space="preserve"> </w:t>
      </w:r>
      <w:r>
        <w:t xml:space="preserve">while simultaneously absorbing two rising costs:</w:t>
      </w:r>
    </w:p>
    <w:p>
      <w:pPr>
        <w:pStyle w:val="Compact"/>
        <w:numPr>
          <w:ilvl w:val="0"/>
          <w:numId w:val="1002"/>
        </w:numPr>
      </w:pPr>
      <w:r>
        <w:rPr>
          <w:b/>
          <w:bCs/>
        </w:rPr>
        <w:t xml:space="preserve">Memory:</w:t>
      </w:r>
      <w:r>
        <w:t xml:space="preserve"> </w:t>
      </w:r>
      <w:r>
        <w:t xml:space="preserve">direct memory spend was ~$50M in 2025 and is now expected to</w:t>
      </w:r>
      <w:r>
        <w:t xml:space="preserve"> </w:t>
      </w:r>
      <w:r>
        <w:rPr>
          <w:b/>
          <w:bCs/>
        </w:rPr>
        <w:t xml:space="preserve">more than double</w:t>
      </w:r>
      <w:r>
        <w:t xml:space="preserve"> </w:t>
      </w:r>
      <w:r>
        <w:t xml:space="preserve">in 2026, driven by AI-related demand across the industry.</w:t>
      </w:r>
    </w:p>
    <w:p>
      <w:pPr>
        <w:pStyle w:val="Compact"/>
        <w:numPr>
          <w:ilvl w:val="0"/>
          <w:numId w:val="1002"/>
        </w:numPr>
      </w:pPr>
      <w:r>
        <w:rPr>
          <w:b/>
          <w:bCs/>
        </w:rPr>
        <w:t xml:space="preserve">Tariffs:</w:t>
      </w:r>
      <w:r>
        <w:t xml:space="preserve"> </w:t>
      </w:r>
      <w:r>
        <w:t xml:space="preserve">~$60M headwind for the year, weighted to the first half (Section 122 duties replaced the IEEPA tariffs the Supreme Court struck down in February).</w:t>
      </w:r>
    </w:p>
    <w:p>
      <w:pPr>
        <w:pStyle w:val="FirstParagraph"/>
      </w:pPr>
      <w:r>
        <w:t xml:space="preserve">Mitigations cited: pulling inventory forward, deeper supplier partnerships, and</w:t>
      </w:r>
      <w:r>
        <w:t xml:space="preserve"> </w:t>
      </w:r>
      <w:r>
        <w:rPr>
          <w:b/>
          <w:bCs/>
        </w:rPr>
        <w:t xml:space="preserve">"surgical" price increases</w:t>
      </w:r>
      <w:r>
        <w:t xml:space="preserve">. Watch the</w:t>
      </w:r>
      <w:r>
        <w:t xml:space="preserve"> </w:t>
      </w:r>
      <w:r>
        <w:rPr>
          <w:b/>
          <w:bCs/>
        </w:rPr>
        <w:t xml:space="preserve">Products &amp; Systems Integration (P&amp;SI) margin</w:t>
      </w:r>
      <w:r>
        <w:t xml:space="preserve"> </w:t>
      </w:r>
      <w:r>
        <w:t xml:space="preserve">most closely — it was 24.8% non-GAAP in Q1, down from 28.1% a year ago on unfavorable mix and supply-chain costs. If P&amp;SI margin stabilizes or improves sequentially, the "peak margin worry" narrative loses steam. There's also a potential offset: MSI has</w:t>
      </w:r>
      <w:r>
        <w:t xml:space="preserve"> </w:t>
      </w:r>
      <w:r>
        <w:rPr>
          <w:b/>
          <w:bCs/>
        </w:rPr>
        <w:t xml:space="preserve">not booked any asset for IEEPA tariff refunds</w:t>
      </w:r>
      <w:r>
        <w:t xml:space="preserve"> </w:t>
      </w:r>
      <w:r>
        <w:t xml:space="preserve">it may recover — any recognition would be upside.</w:t>
      </w:r>
    </w:p>
    <w:bookmarkEnd w:id="11"/>
    <w:bookmarkStart w:id="12" w:name="X932a07d4d98c489eee1e3c6857dc66b3e2fdf51"/>
    <w:p>
      <w:pPr>
        <w:pStyle w:val="Heading3"/>
      </w:pPr>
      <w:r>
        <w:t xml:space="preserve">2. Silvus — the growth story that's re-rating the multiple</w:t>
      </w:r>
    </w:p>
    <w:p>
      <w:pPr>
        <w:pStyle w:val="FirstParagraph"/>
      </w:pPr>
      <w:r>
        <w:t xml:space="preserve">Silvus (acquired Aug 2025) is the swing factor on both growth and sentiment. Management</w:t>
      </w:r>
      <w:r>
        <w:t xml:space="preserve"> </w:t>
      </w:r>
      <w:r>
        <w:rPr>
          <w:b/>
          <w:bCs/>
        </w:rPr>
        <w:t xml:space="preserve">raised the FY26 Silvus revenue target to</w:t>
      </w:r>
      <w:r>
        <w:rPr>
          <w:b/>
          <w:bCs/>
        </w:rPr>
        <w:t xml:space="preserve"> </w:t>
      </w:r>
      <m:oMath>
        <m:r>
          <m:t>750</m:t>
        </m:r>
        <m:r>
          <m:t>M</m:t>
        </m:r>
        <m:r>
          <m:rPr>
            <m:sty m:val="p"/>
          </m:rPr>
          <m:t>(</m:t>
        </m:r>
        <m:r>
          <m:rPr>
            <m:sty m:val="p"/>
          </m:rPr>
          <m:t>+</m:t>
        </m:r>
      </m:oMath>
      <w:r>
        <w:rPr>
          <w:b/>
          <w:bCs/>
        </w:rPr>
        <w:t xml:space="preserve">75M)</w:t>
      </w:r>
      <w:r>
        <w:t xml:space="preserve">, driving most of the $100M full-year top-line raise. Key facts:</w:t>
      </w:r>
    </w:p>
    <w:p>
      <w:pPr>
        <w:pStyle w:val="Compact"/>
        <w:numPr>
          <w:ilvl w:val="0"/>
          <w:numId w:val="1003"/>
        </w:numPr>
      </w:pPr>
      <w:r>
        <w:rPr>
          <w:b/>
          <w:bCs/>
        </w:rPr>
        <w:t xml:space="preserve">~45% EBITDA margins</w:t>
      </w:r>
      <w:r>
        <w:t xml:space="preserve">, sustained even after doubling the sales force and stepping up R&amp;D.</w:t>
      </w:r>
    </w:p>
    <w:p>
      <w:pPr>
        <w:pStyle w:val="Compact"/>
        <w:numPr>
          <w:ilvl w:val="0"/>
          <w:numId w:val="1003"/>
        </w:numPr>
      </w:pPr>
      <w:r>
        <w:t xml:space="preserve">The</w:t>
      </w:r>
      <w:r>
        <w:t xml:space="preserve"> </w:t>
      </w:r>
      <w:r>
        <w:rPr>
          <w:b/>
          <w:bCs/>
        </w:rPr>
        <w:t xml:space="preserve">contingent earnout was raised to &gt;$100M</w:t>
      </w:r>
      <w:r>
        <w:t xml:space="preserve"> </w:t>
      </w:r>
      <w:r>
        <w:t xml:space="preserve">(and drove a $75M non-cash GAAP charge in Q1) — a signal management expects even stronger performance.</w:t>
      </w:r>
    </w:p>
    <w:p>
      <w:pPr>
        <w:pStyle w:val="Compact"/>
        <w:numPr>
          <w:ilvl w:val="0"/>
          <w:numId w:val="1003"/>
        </w:numPr>
      </w:pPr>
      <w:r>
        <w:t xml:space="preserve">Demand is</w:t>
      </w:r>
      <w:r>
        <w:t xml:space="preserve"> </w:t>
      </w:r>
      <w:r>
        <w:rPr>
          <w:b/>
          <w:bCs/>
        </w:rPr>
        <w:t xml:space="preserve">international and defense/drone-driven</w:t>
      </w:r>
      <w:r>
        <w:t xml:space="preserve"> </w:t>
      </w:r>
      <w:r>
        <w:t xml:space="preserve">— e.g., a $78M order from a German unmanned-systems provider in Q1; capacity being expanded in California with a redundant site coming in 2027.</w:t>
      </w:r>
    </w:p>
    <w:p>
      <w:pPr>
        <w:pStyle w:val="Compact"/>
        <w:numPr>
          <w:ilvl w:val="0"/>
          <w:numId w:val="1003"/>
        </w:numPr>
      </w:pPr>
      <w:r>
        <w:t xml:space="preserve">Note: Silvus is</w:t>
      </w:r>
      <w:r>
        <w:t xml:space="preserve"> </w:t>
      </w:r>
      <w:r>
        <w:rPr>
          <w:b/>
          <w:bCs/>
        </w:rPr>
        <w:t xml:space="preserve">project-based and not linear</w:t>
      </w:r>
      <w:r>
        <w:t xml:space="preserve"> </w:t>
      </w:r>
      <w:r>
        <w:t xml:space="preserve">quarter-to-quarter, so don't extrapolate a single quarter. Watch orders/pipeline commentary more than the revenue print.</w:t>
      </w:r>
    </w:p>
    <w:bookmarkEnd w:id="12"/>
    <w:bookmarkStart w:id="13" w:name="X92f877c301dd6bd0a27d5a34b2d2071ffcb9af0"/>
    <w:p>
      <w:pPr>
        <w:pStyle w:val="Heading3"/>
      </w:pPr>
      <w:r>
        <w:t xml:space="preserve">3. LMR normalization → back-half acceleration</w:t>
      </w:r>
    </w:p>
    <w:p>
      <w:pPr>
        <w:pStyle w:val="FirstParagraph"/>
      </w:pPr>
      <w:r>
        <w:t xml:space="preserve">Mission Critical Networks revenue was down YoY in Q1 (tough comps as semiconductor supply normalized). Management said Q2 is the</w:t>
      </w:r>
      <w:r>
        <w:t xml:space="preserve"> </w:t>
      </w:r>
      <w:r>
        <w:rPr>
          <w:b/>
          <w:bCs/>
        </w:rPr>
        <w:t xml:space="preserve">last quarter of that normalization</w:t>
      </w:r>
      <w:r>
        <w:t xml:space="preserve">, with</w:t>
      </w:r>
      <w:r>
        <w:t xml:space="preserve"> </w:t>
      </w:r>
      <w:r>
        <w:rPr>
          <w:b/>
          <w:bCs/>
        </w:rPr>
        <w:t xml:space="preserve">more robust LMR growth in the second half</w:t>
      </w:r>
      <w:r>
        <w:t xml:space="preserve"> </w:t>
      </w:r>
      <w:r>
        <w:t xml:space="preserve">and full-year MCN-technology growth now guided to</w:t>
      </w:r>
      <w:r>
        <w:t xml:space="preserve"> </w:t>
      </w:r>
      <w:r>
        <w:rPr>
          <w:b/>
          <w:bCs/>
        </w:rPr>
        <w:t xml:space="preserve">8–9%</w:t>
      </w:r>
      <w:r>
        <w:t xml:space="preserve"> </w:t>
      </w:r>
      <w:r>
        <w:t xml:space="preserve">(up from 7–8%). This quarter's LMR commentary will validate (or challenge) the second-half ramp the full-year guide depends on.</w:t>
      </w:r>
    </w:p>
    <w:bookmarkEnd w:id="13"/>
    <w:bookmarkStart w:id="14" w:name="Xd17b1bff8f0d3773ba7b235534100f7a30e8be1"/>
    <w:p>
      <w:pPr>
        <w:pStyle w:val="Heading3"/>
      </w:pPr>
      <w:r>
        <w:t xml:space="preserve">4. Software &amp; Services momentum</w:t>
      </w:r>
    </w:p>
    <w:p>
      <w:pPr>
        <w:pStyle w:val="FirstParagraph"/>
      </w:pPr>
      <w:r>
        <w:t xml:space="preserve">S&amp;S grew</w:t>
      </w:r>
      <w:r>
        <w:t xml:space="preserve"> </w:t>
      </w:r>
      <w:r>
        <w:rPr>
          <w:b/>
          <w:bCs/>
        </w:rPr>
        <w:t xml:space="preserve">+18% in Q1</w:t>
      </w:r>
      <w:r>
        <w:t xml:space="preserve"> </w:t>
      </w:r>
      <w:r>
        <w:t xml:space="preserve">(34.2% operating margin) — the highest-quality part of the story and effectively 100% recurring. Command Center was up 27% (Tier-1 city NG911 go-lives, hybrid CAD/records subscriptions) and Video up 16% (body-worn/SVX, ALPR, Alta cloud). Management guided S&amp;S to decelerate modestly from the 18% start, so</w:t>
      </w:r>
      <w:r>
        <w:t xml:space="preserve"> </w:t>
      </w:r>
      <w:r>
        <w:rPr>
          <w:b/>
          <w:bCs/>
        </w:rPr>
        <w:t xml:space="preserve">watch for whether S&amp;S sustains mid-teens growth</w:t>
      </w:r>
      <w:r>
        <w:t xml:space="preserve"> </w:t>
      </w:r>
      <w:r>
        <w:t xml:space="preserve">and whether Video keeps expanding into new verticals (retail, healthcare, critical infrastructure) via the Alta platform.</w:t>
      </w:r>
    </w:p>
    <w:bookmarkEnd w:id="14"/>
    <w:bookmarkStart w:id="15" w:name="X055aa2b80edcbc64a7959df256b0bbdf7c175f3"/>
    <w:p>
      <w:pPr>
        <w:pStyle w:val="Heading3"/>
      </w:pPr>
      <w:r>
        <w:t xml:space="preserve">5. Orders &amp; backlog — the leading indicator</w:t>
      </w:r>
    </w:p>
    <w:p>
      <w:pPr>
        <w:pStyle w:val="FirstParagraph"/>
      </w:pPr>
      <w:r>
        <w:t xml:space="preserve">Q1 delivered</w:t>
      </w:r>
      <w:r>
        <w:t xml:space="preserve"> </w:t>
      </w:r>
      <w:r>
        <w:rPr>
          <w:b/>
          <w:bCs/>
        </w:rPr>
        <w:t xml:space="preserve">record Q1 orders (+38%)</w:t>
      </w:r>
      <w:r>
        <w:t xml:space="preserve"> </w:t>
      </w:r>
      <w:r>
        <w:t xml:space="preserve">and a</w:t>
      </w:r>
      <w:r>
        <w:t xml:space="preserve"> </w:t>
      </w:r>
      <w:r>
        <w:rPr>
          <w:b/>
          <w:bCs/>
        </w:rPr>
        <w:t xml:space="preserve">record $15.7B backlog (+11% YoY)</w:t>
      </w:r>
      <w:r>
        <w:t xml:space="preserve">, the fourth straight quarter of double-digit order growth in both segments. Management even flagged that</w:t>
      </w:r>
      <w:r>
        <w:t xml:space="preserve"> </w:t>
      </w:r>
      <w:r>
        <w:rPr>
          <w:b/>
          <w:bCs/>
        </w:rPr>
        <w:t xml:space="preserve">product backlog rose sequentially</w:t>
      </w:r>
      <w:r>
        <w:t xml:space="preserve"> </w:t>
      </w:r>
      <w:r>
        <w:t xml:space="preserve">when they'd guided for a decline — a positive surprise. The key tell for durability of the story: does</w:t>
      </w:r>
      <w:r>
        <w:t xml:space="preserve"> </w:t>
      </w:r>
      <w:r>
        <w:rPr>
          <w:b/>
          <w:bCs/>
        </w:rPr>
        <w:t xml:space="preserve">product backlog hold up</w:t>
      </w:r>
      <w:r>
        <w:t xml:space="preserve"> </w:t>
      </w:r>
      <w:r>
        <w:t xml:space="preserve">and do orders stay double-digit? Management has committed to full-year double-digit product order growth.</w:t>
      </w:r>
    </w:p>
    <w:p>
      <w:r>
        <w:pict>
          <v:rect style="width:0;height:1.5pt" o:hralign="center" o:hrstd="t" o:hr="t"/>
        </w:pict>
      </w:r>
    </w:p>
    <w:bookmarkEnd w:id="15"/>
    <w:bookmarkEnd w:id="16"/>
    <w:bookmarkStart w:id="17" w:name="other-things-to-watch"/>
    <w:p>
      <w:pPr>
        <w:pStyle w:val="Heading2"/>
      </w:pPr>
      <w:r>
        <w:t xml:space="preserve">Other Things to Watch</w:t>
      </w:r>
    </w:p>
    <w:p>
      <w:pPr>
        <w:pStyle w:val="Compact"/>
        <w:numPr>
          <w:ilvl w:val="0"/>
          <w:numId w:val="1004"/>
        </w:numPr>
      </w:pPr>
      <w:r>
        <w:rPr>
          <w:b/>
          <w:bCs/>
        </w:rPr>
        <w:t xml:space="preserve">Bell Canada LMR acquisition:</w:t>
      </w:r>
      <w:r>
        <w:t xml:space="preserve"> </w:t>
      </w:r>
      <w:r>
        <w:t xml:space="preserve">CAD</w:t>
      </w:r>
      <w:r>
        <w:t xml:space="preserve"> </w:t>
      </w:r>
      <m:oMath>
        <m:r>
          <m:t>675</m:t>
        </m:r>
        <m:r>
          <m:t>M</m:t>
        </m:r>
        <m:r>
          <m:rPr>
            <m:sty m:val="p"/>
          </m:rPr>
          <m:t>(</m:t>
        </m:r>
        <m:r>
          <m:t> </m:t>
        </m:r>
      </m:oMath>
      <w:r>
        <w:t xml:space="preserve">500M), ~$100M of recurring managed-services revenue, expected to</w:t>
      </w:r>
      <w:r>
        <w:t xml:space="preserve"> </w:t>
      </w:r>
      <w:r>
        <w:rPr>
          <w:b/>
          <w:bCs/>
        </w:rPr>
        <w:t xml:space="preserve">close in Q4 2026</w:t>
      </w:r>
      <w:r>
        <w:t xml:space="preserve">. Look for updated timing/accretion detail.</w:t>
      </w:r>
    </w:p>
    <w:p>
      <w:pPr>
        <w:pStyle w:val="Compact"/>
        <w:numPr>
          <w:ilvl w:val="0"/>
          <w:numId w:val="1004"/>
        </w:numPr>
      </w:pPr>
      <w:r>
        <w:rPr>
          <w:b/>
          <w:bCs/>
        </w:rPr>
        <w:t xml:space="preserve">Tuck-in M&amp;A cadence:</w:t>
      </w:r>
      <w:r>
        <w:t xml:space="preserve"> </w:t>
      </w:r>
      <w:r>
        <w:t xml:space="preserve">Exacom and Hyper (agentic AI for 911) closed in Q1 for a combined</w:t>
      </w:r>
      <w:r>
        <w:t xml:space="preserve"> </w:t>
      </w:r>
      <m:oMath>
        <m:r>
          <m:t>90</m:t>
        </m:r>
        <m:r>
          <m:t>M</m:t>
        </m:r>
        <m:r>
          <m:rPr>
            <m:sty m:val="p"/>
          </m:rPr>
          <m:t>;</m:t>
        </m:r>
        <m:r>
          <m:t>n</m:t>
        </m:r>
        <m:r>
          <m:t>e</m:t>
        </m:r>
        <m:r>
          <m:t>t</m:t>
        </m:r>
        <m:r>
          <m:t>d</m:t>
        </m:r>
        <m:r>
          <m:t>e</m:t>
        </m:r>
        <m:r>
          <m:t>b</m:t>
        </m:r>
        <m:r>
          <m:t>t</m:t>
        </m:r>
        <m:r>
          <m:rPr>
            <m:sty m:val="p"/>
          </m:rPr>
          <m:t>/</m:t>
        </m:r>
        <m:r>
          <m:t>E</m:t>
        </m:r>
        <m:r>
          <m:t>B</m:t>
        </m:r>
        <m:r>
          <m:t>I</m:t>
        </m:r>
        <m:r>
          <m:t>T</m:t>
        </m:r>
        <m:r>
          <m:t>D</m:t>
        </m:r>
        <m:r>
          <m:t>A</m:t>
        </m:r>
        <m:r>
          <m:t>i</m:t>
        </m:r>
        <m:r>
          <m:t>s</m:t>
        </m:r>
        <m:r>
          <m:t> </m:t>
        </m:r>
        <m:r>
          <m:t>2</m:t>
        </m:r>
        <m:r>
          <m:t>x</m:t>
        </m:r>
        <m:r>
          <m:t>w</m:t>
        </m:r>
        <m:r>
          <m:t>i</m:t>
        </m:r>
        <m:r>
          <m:t>t</m:t>
        </m:r>
        <m:r>
          <m:t>h</m:t>
        </m:r>
        <m:r>
          <m:t> </m:t>
        </m:r>
      </m:oMath>
      <w:r>
        <w:t xml:space="preserve">3B of annual operating cash flow, so more deals and buybacks are likely (~$250M repurchased YTD as of the last call).</w:t>
      </w:r>
    </w:p>
    <w:p>
      <w:pPr>
        <w:pStyle w:val="Compact"/>
        <w:numPr>
          <w:ilvl w:val="0"/>
          <w:numId w:val="1004"/>
        </w:numPr>
      </w:pPr>
      <w:r>
        <w:rPr>
          <w:b/>
          <w:bCs/>
        </w:rPr>
        <w:t xml:space="preserve">Competitive dynamics:</w:t>
      </w:r>
      <w:r>
        <w:t xml:space="preserve"> </w:t>
      </w:r>
      <w:r>
        <w:t xml:space="preserve">Axon entered the 911/call-center market via acquisitions. Management said it sees</w:t>
      </w:r>
      <w:r>
        <w:t xml:space="preserve"> </w:t>
      </w:r>
      <w:r>
        <w:rPr>
          <w:b/>
          <w:bCs/>
        </w:rPr>
        <w:t xml:space="preserve">no material change</w:t>
      </w:r>
      <w:r>
        <w:t xml:space="preserve"> </w:t>
      </w:r>
      <w:r>
        <w:t xml:space="preserve">in the competitive landscape and touts presence in</w:t>
      </w:r>
      <w:r>
        <w:t xml:space="preserve"> </w:t>
      </w:r>
      <w:r>
        <w:rPr>
          <w:b/>
          <w:bCs/>
        </w:rPr>
        <w:t xml:space="preserve">&gt;60% of ~6,000 PSAPs</w:t>
      </w:r>
      <w:r>
        <w:t xml:space="preserve"> </w:t>
      </w:r>
      <w:r>
        <w:t xml:space="preserve">plus a prem/cloud/hybrid + embedded-AI ("Assist") differentiation. Any commentary on competitive win rates is worth noting — and Axon's stock has been volatile and recently rebounding, keeping the rivalry in focus.</w:t>
      </w:r>
    </w:p>
    <w:p>
      <w:pPr>
        <w:pStyle w:val="Compact"/>
        <w:numPr>
          <w:ilvl w:val="0"/>
          <w:numId w:val="1004"/>
        </w:numPr>
      </w:pPr>
      <w:r>
        <w:rPr>
          <w:b/>
          <w:bCs/>
        </w:rPr>
        <w:t xml:space="preserve">Federal demand:</w:t>
      </w:r>
      <w:r>
        <w:t xml:space="preserve"> </w:t>
      </w:r>
      <w:r>
        <w:t xml:space="preserve">MSI cited a $148M DHS device/SVX order in Q1 funded by the "One Big Beautiful Bill Act," and expects federal growth comparable to a strong 2025 despite D.C. budget noise (ICE/CBP funded with tailwinds).</w:t>
      </w:r>
    </w:p>
    <w:p>
      <w:pPr>
        <w:pStyle w:val="Compact"/>
        <w:numPr>
          <w:ilvl w:val="0"/>
          <w:numId w:val="1004"/>
        </w:numPr>
      </w:pPr>
      <w:r>
        <w:rPr>
          <w:b/>
          <w:bCs/>
        </w:rPr>
        <w:t xml:space="preserve">AI adoption metrics:</w:t>
      </w:r>
      <w:r>
        <w:t xml:space="preserve"> </w:t>
      </w:r>
      <w:r>
        <w:t xml:space="preserve">management highlighted rapid uptake of "Assist" (e.g., an 800% increase in AI-generated reports since December, and attach on 100% of VESTA NXT call-handling sales). These adoption stats are becoming a key part of the software narrative.</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The demand side of MSI's story is arguably as strong as it's ever been — record backlog, accelerating software and defense growth, and a raised full-year outlook.</w:t>
      </w:r>
      <w:r>
        <w:t xml:space="preserve"> </w:t>
      </w:r>
      <w:r>
        <w:rPr>
          <w:b/>
          <w:bCs/>
        </w:rPr>
        <w:t xml:space="preserve">The report will be judged on the cost side.</w:t>
      </w:r>
      <w:r>
        <w:t xml:space="preserve"> </w:t>
      </w:r>
      <w:r>
        <w:t xml:space="preserve">A clean Q2 that (a) holds or expands P&amp;SI margins sequentially despite memory/tariff pressure, (b) reaffirms the ~100 bps full-year margin expansion and ~$3B cash flow, and (c) delivers another top-line raise led by Silvus and LMR back-half acceleration would go a long way toward repairing the sentiment damage from May. Conversely, any hint that memory costs are outrunning the "surgical price increase" mitigation — or another soft free-cash-flow quarter — likely reignites the peak-margin debate that has kept the stock range-bound.</w:t>
      </w:r>
    </w:p>
    <w:p>
      <w:pPr>
        <w:pStyle w:val="BodyText"/>
      </w:pPr>
      <w:r>
        <w:rPr>
          <w:b/>
          <w:bCs/>
        </w:rPr>
        <w:t xml:space="preserve">Watch, in order:</w:t>
      </w:r>
      <w:r>
        <w:t xml:space="preserve"> </w:t>
      </w:r>
      <w:r>
        <w:t xml:space="preserve">P&amp;SI margin → full-year guidance action (raise or hold) → Silvus orders/pipeline → LMR back-half confirmation → free cash flow.</w:t>
      </w:r>
    </w:p>
    <w:p>
      <w:pPr>
        <w:pStyle w:val="BodyText"/>
      </w:pPr>
      <w:r>
        <w:rPr>
          <w:i/>
          <w:iCs/>
        </w:rPr>
        <w:t xml:space="preserve">Note: A few third-party previews circulated a Q2 EPS estimate near $3.43; that appears inconsistent with MSI's own non-GAAP guidance of</w:t>
      </w:r>
      <w:r>
        <w:rPr>
          <w:i/>
          <w:iCs/>
        </w:rPr>
        <w:t xml:space="preserve"> </w:t>
      </w:r>
      <m:oMath>
        <m:r>
          <m:t>3.82</m:t>
        </m:r>
        <m:r>
          <m:rPr>
            <m:sty m:val="p"/>
          </m:rPr>
          <m:t>–</m:t>
        </m:r>
      </m:oMath>
      <w:r>
        <w:rPr>
          <w:i/>
          <w:iCs/>
        </w:rPr>
        <w:t xml:space="preserve">3.88 and likely reflects a different data provider/metric. Anchor to company guidance.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2026-08-05T01:03:17Z</dcterms:created>
  <dcterms:modified xsi:type="dcterms:W3CDTF">2026-08-05T01:03:17Z</dcterms:modified>
</cp:coreProperties>
</file>

<file path=docProps/custom.xml><?xml version="1.0" encoding="utf-8"?>
<Properties xmlns="http://schemas.openxmlformats.org/officeDocument/2006/custom-properties" xmlns:vt="http://schemas.openxmlformats.org/officeDocument/2006/docPropsVTypes"/>
</file>