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i-earnings-predictions--2026-08-05"/>
    <w:p>
      <w:pPr>
        <w:pStyle w:val="Heading1"/>
      </w:pPr>
      <w:r>
        <w:t xml:space="preserve">MSI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~$3.03B vs. cons $3.00B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~$3.92 vs. cons $3.86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Margin Expansion (bps y/y)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~+80bps vs. cons ~+100bps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~$12.85B vs. cons $12.80B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17.00</m:t>
              </m:r>
              <m:r>
                <m:rPr>
                  <m:sty m:val="p"/>
                </m:rPr>
                <m:t>−</m:t>
              </m:r>
            </m:oMath>
            <w:r>
              <w:t xml:space="preserve">17.10 (mid $17.05) vs. cons $16.93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Expansion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~+80-90bps vs. cons/prior guide of ~+100bps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top/bottom-line beat, commentary reiterating or trimming the full-year ~100bps margin-expansion target (memory costs doubling, tariff drag) implies analysts must shave H2/FY2027 EPS estimates, echoing the Q1 pattern where a strong print still sold off on margin/cost fears; with the stock near all-time highs and elevated buy-side expectations already priced in, initial softness likely extends over the week as sell-side models get trimmed rather than stabilizing.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2026-08-05T01:07:14Z</dcterms:created>
  <dcterms:modified xsi:type="dcterms:W3CDTF">2026-08-05T01:07:14Z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