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well-informed preview.# Motorola Solutions (MSI) — Q2 2026 Earnings Preview</w:t>
      </w:r>
    </w:p>
    <w:p>
      <w:pPr>
        <w:pStyle w:val="BodyText"/>
      </w:pPr>
      <w:r>
        <w:rPr>
          <w:b/>
          <w:bCs/>
        </w:rPr>
        <w:t xml:space="preserve">Report date:</w:t>
      </w:r>
      <w:r>
        <w:t xml:space="preserve"> </w:t>
      </w:r>
      <w:r>
        <w:t xml:space="preserve">Wednesday, August 5, 2026, after market close | Call at 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MSI shares enter tomorrow's report near all-time highs (~$443 as of Aug 4), having fully recovered — and then some — from the sharp post-Q1 selloff. Despite reporting record results, including 7% revenue growth, adjusted EPS of $3.37 (up from $3.18 a year earlier), record Q1 orders growth of 38%, and a record backlog of $15.7 billion, the stock fell on concerns over future profitability as management highlighted approximately $60 million in tariff headwinds for 2026, direct memory spending that is expected to more than double year-over-year, and ongoing supply-chain cost pressures that could weigh on margins. Since then, sentiment has largely healed as investors have looked past near-term cost pressure toward continued demand strength and M&amp;A optionality, including the newly announced D-Fend counter-drone acquisition.</w:t>
      </w:r>
    </w:p>
    <w:p>
      <w:pPr>
        <w:pStyle w:val="BodyText"/>
      </w:pPr>
      <w:r>
        <w:t xml:space="preserve">Sell-side sentiment remains firmly bullish heading into the print: consensus rating is Buy/Strong Buy, with an average price target around</w:t>
      </w:r>
      <w:r>
        <w:t xml:space="preserve"> </w:t>
      </w:r>
      <m:oMath>
        <m:r>
          <m:t>504</m:t>
        </m:r>
        <m:r>
          <m:rPr>
            <m:sty m:val="p"/>
          </m:rPr>
          <m:t>–</m:t>
        </m:r>
      </m:oMath>
      <w:r>
        <w:t xml:space="preserve">509 (Barclays recently raised its target to $509 with an Overweight rating), implying continued upside from current levels.</w:t>
      </w:r>
    </w:p>
    <w:bookmarkEnd w:id="9"/>
    <w:bookmarkStart w:id="10" w:name="Xa94ba7ea6c075042aac9d398126eea1f951fc93"/>
    <w:p>
      <w:pPr>
        <w:pStyle w:val="Heading2"/>
      </w:pPr>
      <w:r>
        <w:t xml:space="preserve">What Management Guided For (from Q1 call, May 7)</w:t>
      </w:r>
    </w:p>
    <w:p>
      <w:pPr>
        <w:pStyle w:val="Compact"/>
        <w:numPr>
          <w:ilvl w:val="0"/>
          <w:numId w:val="1001"/>
        </w:numPr>
      </w:pPr>
      <w:r>
        <w:rPr>
          <w:b/>
          <w:bCs/>
        </w:rPr>
        <w:t xml:space="preserve">Q2 revenue growth:</w:t>
      </w:r>
      <w:r>
        <w:t xml:space="preserve"> </w:t>
      </w:r>
      <w:r>
        <w:t xml:space="preserve">~8.5% y/y, with</w:t>
      </w:r>
      <w:r>
        <w:t xml:space="preserve"> </w:t>
      </w:r>
      <w:r>
        <w:rPr>
          <w:b/>
          <w:bCs/>
        </w:rPr>
        <w:t xml:space="preserve">non-GAAP EPS of</w:t>
      </w:r>
      <w:r>
        <w:rPr>
          <w:b/>
          <w:bCs/>
        </w:rPr>
        <w:t xml:space="preserve"> </w:t>
      </w:r>
      <m:oMath>
        <m:r>
          <m:t>3.82</m:t>
        </m:r>
        <m:r>
          <m:rPr>
            <m:sty m:val="p"/>
          </m:rPr>
          <m:t>–</m:t>
        </m:r>
      </m:oMath>
      <w:r>
        <w:rPr>
          <w:b/>
          <w:bCs/>
        </w:rPr>
        <w:t xml:space="preserve">3.88</w:t>
      </w:r>
    </w:p>
    <w:p>
      <w:pPr>
        <w:pStyle w:val="Compact"/>
        <w:numPr>
          <w:ilvl w:val="0"/>
          <w:numId w:val="1001"/>
        </w:numPr>
      </w:pPr>
      <w:r>
        <w:rPr>
          <w:b/>
          <w:bCs/>
        </w:rPr>
        <w:t xml:space="preserve">Full-year 2026 (raised):</w:t>
      </w:r>
      <w:r>
        <w:t xml:space="preserve"> </w:t>
      </w:r>
      <w:r>
        <w:t xml:space="preserve">revenue of</w:t>
      </w:r>
      <w:r>
        <w:t xml:space="preserve"> </w:t>
      </w:r>
      <w:r>
        <w:rPr>
          <w:b/>
          <w:bCs/>
        </w:rPr>
        <w:t xml:space="preserve">~$12.8 billion</w:t>
      </w:r>
      <w:r>
        <w:t xml:space="preserve"> </w:t>
      </w:r>
      <w:r>
        <w:t xml:space="preserve">(up from $12.7B) and</w:t>
      </w:r>
      <w:r>
        <w:t xml:space="preserve"> </w:t>
      </w:r>
      <w:r>
        <w:rPr>
          <w:b/>
          <w:bCs/>
        </w:rPr>
        <w:t xml:space="preserve">non-GAAP EPS of</w:t>
      </w:r>
      <w:r>
        <w:rPr>
          <w:b/>
          <w:bCs/>
        </w:rPr>
        <w:t xml:space="preserve"> </w:t>
      </w:r>
      <m:oMath>
        <m:r>
          <m:t>16.87</m:t>
        </m:r>
        <m:r>
          <m:rPr>
            <m:sty m:val="p"/>
          </m:rPr>
          <m:t>–</m:t>
        </m:r>
      </m:oMath>
      <w:r>
        <w:rPr>
          <w:b/>
          <w:bCs/>
        </w:rPr>
        <w:t xml:space="preserve">16.99</w:t>
      </w:r>
      <w:r>
        <w:t xml:space="preserve"> </w:t>
      </w:r>
      <w:r>
        <w:t xml:space="preserve">(up from</w:t>
      </w:r>
      <w:r>
        <w:t xml:space="preserve"> </w:t>
      </w:r>
      <m:oMath>
        <m:r>
          <m:t>16.70</m:t>
        </m:r>
        <m:r>
          <m:rPr>
            <m:sty m:val="p"/>
          </m:rPr>
          <m:t>–</m:t>
        </m:r>
      </m:oMath>
      <w:r>
        <w:t xml:space="preserve">16.85)</w:t>
      </w:r>
    </w:p>
    <w:p>
      <w:pPr>
        <w:pStyle w:val="Compact"/>
        <w:numPr>
          <w:ilvl w:val="0"/>
          <w:numId w:val="1001"/>
        </w:numPr>
      </w:pPr>
      <w:r>
        <w:rPr>
          <w:b/>
          <w:bCs/>
        </w:rPr>
        <w:t xml:space="preserve">Operating cash flow:</w:t>
      </w:r>
      <w:r>
        <w:t xml:space="preserve"> </w:t>
      </w:r>
      <w:r>
        <w:t xml:space="preserve">~$3 billion for the full year</w:t>
      </w:r>
    </w:p>
    <w:p>
      <w:pPr>
        <w:pStyle w:val="Compact"/>
        <w:numPr>
          <w:ilvl w:val="0"/>
          <w:numId w:val="1001"/>
        </w:numPr>
      </w:pPr>
      <w:r>
        <w:rPr>
          <w:b/>
          <w:bCs/>
        </w:rPr>
        <w:t xml:space="preserve">Margin expansion:</w:t>
      </w:r>
      <w:r>
        <w:t xml:space="preserve"> </w:t>
      </w:r>
      <w:r>
        <w:t xml:space="preserve">management continues to expect</w:t>
      </w:r>
      <w:r>
        <w:t xml:space="preserve"> </w:t>
      </w:r>
      <w:r>
        <w:rPr>
          <w:b/>
          <w:bCs/>
        </w:rPr>
        <w:t xml:space="preserve">~100 bps of non-GAAP operating margin expansion</w:t>
      </w:r>
      <w:r>
        <w:t xml:space="preserve"> </w:t>
      </w:r>
      <w:r>
        <w:t xml:space="preserve">for the year, with expansion in</w:t>
      </w:r>
      <w:r>
        <w:t xml:space="preserve"> </w:t>
      </w:r>
      <w:r>
        <w:rPr>
          <w:i/>
          <w:iCs/>
        </w:rPr>
        <w:t xml:space="preserve">both</w:t>
      </w:r>
      <w:r>
        <w:t xml:space="preserve"> </w:t>
      </w:r>
      <w:r>
        <w:t xml:space="preserve">segments, even after absorbing higher memory and tariff costs</w:t>
      </w:r>
    </w:p>
    <w:p>
      <w:pPr>
        <w:pStyle w:val="Compact"/>
        <w:numPr>
          <w:ilvl w:val="0"/>
          <w:numId w:val="1001"/>
        </w:numPr>
      </w:pPr>
      <w:r>
        <w:t xml:space="preserve">Segment-level raises:</w:t>
      </w:r>
      <w:r>
        <w:t xml:space="preserve"> </w:t>
      </w:r>
      <w:r>
        <w:rPr>
          <w:b/>
          <w:bCs/>
        </w:rPr>
        <w:t xml:space="preserve">Products &amp; SI</w:t>
      </w:r>
      <w:r>
        <w:t xml:space="preserve"> </w:t>
      </w:r>
      <w:r>
        <w:t xml:space="preserve">now expected to grow</w:t>
      </w:r>
      <w:r>
        <w:t xml:space="preserve"> </w:t>
      </w:r>
      <w:r>
        <w:rPr>
          <w:b/>
          <w:bCs/>
        </w:rPr>
        <w:t xml:space="preserve">8–9%</w:t>
      </w:r>
      <w:r>
        <w:t xml:space="preserve"> </w:t>
      </w:r>
      <w:r>
        <w:t xml:space="preserve">(from 7–8%) and</w:t>
      </w:r>
      <w:r>
        <w:t xml:space="preserve"> </w:t>
      </w:r>
      <w:r>
        <w:rPr>
          <w:b/>
          <w:bCs/>
        </w:rPr>
        <w:t xml:space="preserve">Mission Critical Networks</w:t>
      </w:r>
      <w:r>
        <w:t xml:space="preserve"> </w:t>
      </w:r>
      <w:r>
        <w:t xml:space="preserve">technology now expected to grow</w:t>
      </w:r>
      <w:r>
        <w:t xml:space="preserve"> </w:t>
      </w:r>
      <w:r>
        <w:rPr>
          <w:b/>
          <w:bCs/>
        </w:rPr>
        <w:t xml:space="preserve">8–9%</w:t>
      </w:r>
      <w:r>
        <w:t xml:space="preserve"> </w:t>
      </w:r>
      <w:r>
        <w:t xml:space="preserve">(from 7–8%), driven partly by Silvus strength</w:t>
      </w:r>
    </w:p>
    <w:bookmarkEnd w:id="10"/>
    <w:bookmarkStart w:id="11" w:name="street-expectations-for-q2"/>
    <w:p>
      <w:pPr>
        <w:pStyle w:val="Heading2"/>
      </w:pPr>
      <w:r>
        <w:t xml:space="preserve">Street Expectations for Q2</w:t>
      </w:r>
    </w:p>
    <w:p>
      <w:pPr>
        <w:pStyle w:val="FirstParagraph"/>
      </w:pPr>
      <w:r>
        <w:t xml:space="preserve">Consensus sits essentially in line with, or slightly below, the top end of guidance: the Zacks Consensus Estimate for revenues is pegged at $3 billion, which indicates growth from the year-ago quarter's reported figure of $2.76 billion. The consensus estimate for adjusted earnings per share is $3.86, which suggests an increase from $3.57 a year ago. Notably, Earnings ESP, which represents the difference between the Most Accurate Estimate and the Zacks Consensus Estimate, is +0.52% with the former pegged at $3.88 per share, and Motorola carries a Zacks Rank #2 — a setup that has historically favored a beat. MSI has beaten bottom-line estimates every quarter over the past year, with an earnings surprise of 3.7% last quarter and a trailing four-quarter earnings surprise of 5.2%, on average.</w:t>
      </w:r>
    </w:p>
    <w:bookmarkEnd w:id="11"/>
    <w:bookmarkStart w:id="12" w:name="key-themes-to-watch"/>
    <w:p>
      <w:pPr>
        <w:pStyle w:val="Heading2"/>
      </w:pPr>
      <w:r>
        <w:t xml:space="preserve">Key Themes to Watch</w:t>
      </w:r>
    </w:p>
    <w:p>
      <w:pPr>
        <w:pStyle w:val="FirstParagraph"/>
      </w:pPr>
      <w:r>
        <w:rPr>
          <w:b/>
          <w:bCs/>
        </w:rPr>
        <w:t xml:space="preserve">1. Backlog and orders momentum.</w:t>
      </w:r>
      <w:r>
        <w:t xml:space="preserve"> </w:t>
      </w:r>
      <w:r>
        <w:t xml:space="preserve">Q1 marked the fourth consecutive quarter of double-digit orders growth in both segments, with record Q1 orders up 38% and record ending backlog of $15.7 billion, up 11% y/y. Management explicitly raised its confidence that backlog would end the year at comparably strong levels versus prior expectations of a decline. Watch whether that order momentum — and Products backlog specifically — continued to build sequentially in Q2, since it's the best forward indicator of H2/2027 growth.</w:t>
      </w:r>
    </w:p>
    <w:p>
      <w:pPr>
        <w:pStyle w:val="BodyText"/>
      </w:pPr>
      <w:r>
        <w:rPr>
          <w:b/>
          <w:bCs/>
        </w:rPr>
        <w:t xml:space="preserve">2. Margin trajectory amid cost inflation.</w:t>
      </w:r>
      <w:r>
        <w:t xml:space="preserve"> </w:t>
      </w:r>
      <w:r>
        <w:t xml:space="preserve">This is the single biggest swing factor for the stock reaction. Management flagged that direct memory costs, roughly</w:t>
      </w:r>
      <w:r>
        <w:t xml:space="preserve"> </w:t>
      </w:r>
      <m:oMath>
        <m:r>
          <m:t>50</m:t>
        </m:r>
        <m:r>
          <m:t>m</m:t>
        </m:r>
        <m:r>
          <m:t>i</m:t>
        </m:r>
        <m:r>
          <m:t>l</m:t>
        </m:r>
        <m:r>
          <m:t>l</m:t>
        </m:r>
        <m:r>
          <m:t>i</m:t>
        </m:r>
        <m:r>
          <m:t>o</m:t>
        </m:r>
        <m:r>
          <m:t>n</m:t>
        </m:r>
        <m:r>
          <m:t>i</m:t>
        </m:r>
        <m:r>
          <m:t>n</m:t>
        </m:r>
        <m:r>
          <m:t>2025</m:t>
        </m:r>
        <m:r>
          <m:rPr>
            <m:sty m:val="p"/>
          </m:rPr>
          <m:t>,</m:t>
        </m:r>
        <m:r>
          <m:t>a</m:t>
        </m:r>
        <m:r>
          <m:t>r</m:t>
        </m:r>
        <m:r>
          <m:t>e</m:t>
        </m:r>
        <m:r>
          <m:t>n</m:t>
        </m:r>
        <m:r>
          <m:t>o</m:t>
        </m:r>
        <m:r>
          <m:t>w</m:t>
        </m:r>
        <m:r>
          <m:t>e</m:t>
        </m:r>
        <m:r>
          <m:t>x</m:t>
        </m:r>
        <m:r>
          <m:t>p</m:t>
        </m:r>
        <m:r>
          <m:t>e</m:t>
        </m:r>
        <m:r>
          <m:t>c</m:t>
        </m:r>
        <m:r>
          <m:t>t</m:t>
        </m:r>
        <m:r>
          <m:t>e</m:t>
        </m:r>
        <m:r>
          <m:t>d</m:t>
        </m:r>
        <m:r>
          <m:t>t</m:t>
        </m:r>
        <m:r>
          <m:t>o</m:t>
        </m:r>
        <m:r>
          <m:rPr>
            <m:sty m:val="p"/>
          </m:rPr>
          <m:t>*</m:t>
        </m:r>
        <m:r>
          <m:rPr>
            <m:sty m:val="p"/>
          </m:rPr>
          <m:t>*</m:t>
        </m:r>
        <m:r>
          <m:t>m</m:t>
        </m:r>
        <m:r>
          <m:t>o</m:t>
        </m:r>
        <m:r>
          <m:t>r</m:t>
        </m:r>
        <m:r>
          <m:t>e</m:t>
        </m:r>
        <m:r>
          <m:t>t</m:t>
        </m:r>
        <m:r>
          <m:t>h</m:t>
        </m:r>
        <m:r>
          <m:t>a</m:t>
        </m:r>
        <m:r>
          <m:t>n</m:t>
        </m:r>
        <m:r>
          <m:t>d</m:t>
        </m:r>
        <m:r>
          <m:t>o</m:t>
        </m:r>
        <m:r>
          <m:t>u</m:t>
        </m:r>
        <m:r>
          <m:t>b</m:t>
        </m:r>
        <m:r>
          <m:t>l</m:t>
        </m:r>
        <m:r>
          <m:t>e</m:t>
        </m:r>
        <m:r>
          <m:rPr>
            <m:sty m:val="p"/>
          </m:rPr>
          <m:t>*</m:t>
        </m:r>
        <m:r>
          <m:rPr>
            <m:sty m:val="p"/>
          </m:rPr>
          <m:t>*</m:t>
        </m:r>
        <m:r>
          <m:t>i</m:t>
        </m:r>
        <m:r>
          <m:t>n</m:t>
        </m:r>
        <m:r>
          <m:t>2026</m:t>
        </m:r>
        <m:r>
          <m:rPr>
            <m:sty m:val="p"/>
          </m:rPr>
          <m:t>,</m:t>
        </m:r>
        <m:r>
          <m:t>o</m:t>
        </m:r>
        <m:r>
          <m:t>n</m:t>
        </m:r>
        <m:r>
          <m:t>t</m:t>
        </m:r>
        <m:r>
          <m:t>o</m:t>
        </m:r>
        <m:r>
          <m:t>p</m:t>
        </m:r>
        <m:r>
          <m:t>o</m:t>
        </m:r>
        <m:r>
          <m:t>f</m:t>
        </m:r>
        <m:r>
          <m:t>a</m:t>
        </m:r>
        <m:r>
          <m:t> </m:t>
        </m:r>
      </m:oMath>
      <w:r>
        <w:t xml:space="preserve">60 million tariff headwind concentrated in H1. Mitigation levers cited include accelerating inventory purchases, deepening supply partnerships, and "surgical" price adjustments. The market will be watching closely whether the company can still deliver the promised 100 bps of full-year operating margin expansion, and whether gross margin commentary shows the cost pressure stabilizing or intensifying into H2.</w:t>
      </w:r>
    </w:p>
    <w:p>
      <w:pPr>
        <w:pStyle w:val="BodyText"/>
      </w:pPr>
      <w:r>
        <w:rPr>
          <w:b/>
          <w:bCs/>
        </w:rPr>
        <w:t xml:space="preserve">3. Segment divergence — Software &amp; Services vs. Products &amp; SI.</w:t>
      </w:r>
      <w:r>
        <w:t xml:space="preserve"> </w:t>
      </w:r>
      <w:r>
        <w:t xml:space="preserve">In Q1, Software &amp; Services grew 18% (Command Center +27%, driven by Tier-1 city 911/CAD go-lives and the new Assist AI suite; Video +16%), while Products &amp; SI grew only 1%, weighed down by tough LMR comps tied to the prior-year semiconductor-supply normalization. Management called Q2 the last quarter facing that difficult LMR comp, guiding to "more robust growth in the back half of the year" for LMR/Mission Critical Networks. Confirmation of that inflection would be a positive signal for H2.</w:t>
      </w:r>
    </w:p>
    <w:p>
      <w:pPr>
        <w:pStyle w:val="BodyText"/>
      </w:pPr>
      <w:r>
        <w:rPr>
          <w:b/>
          <w:bCs/>
        </w:rPr>
        <w:t xml:space="preserve">4. Silvus and the broader defense/counter-drone build-out.</w:t>
      </w:r>
      <w:r>
        <w:t xml:space="preserve"> </w:t>
      </w:r>
      <w:r>
        <w:t xml:space="preserve">Silvus (tactical mesh-network radios for drones/electronic warfare) continues to run ahead of plan — full-year revenue guidance was raised to $750 million (from $675 million) with EBITDA margins around 45%, driven largely by international defense demand. Since the Q1 print, MSI has doubled down on this thesis by agreeing to acquire</w:t>
      </w:r>
      <w:r>
        <w:t xml:space="preserve"> </w:t>
      </w:r>
      <w:r>
        <w:rPr>
          <w:b/>
          <w:bCs/>
        </w:rPr>
        <w:t xml:space="preserve">D-Fend Solutions for $1.5 billion</w:t>
      </w:r>
      <w:r>
        <w:t xml:space="preserve">, a counter-drone technology leader expected to generate approximately $185 million in revenue during 2026, with the deal expected to close in Q4 2026. MSI also led a $125 million funding round in 911 drone maker Brinc. Investors will want color on integration plans, financing (given ~2x net debt/EBITDA), and how these deals reshape the growth algorithm alongside Silvus.</w:t>
      </w:r>
    </w:p>
    <w:p>
      <w:pPr>
        <w:pStyle w:val="BodyText"/>
      </w:pPr>
      <w:r>
        <w:rPr>
          <w:b/>
          <w:bCs/>
        </w:rPr>
        <w:t xml:space="preserve">5. M&amp;A pace and capital allocation.</w:t>
      </w:r>
      <w:r>
        <w:t xml:space="preserve"> </w:t>
      </w:r>
      <w:r>
        <w:t xml:space="preserve">Beyond Silvus/D-Fend, MSI closed Exacom and Hyper (combined</w:t>
      </w:r>
      <w:r>
        <w:t xml:space="preserve"> </w:t>
      </w:r>
      <m:oMath>
        <m:r>
          <m:t>90</m:t>
        </m:r>
        <m:r>
          <m:t>m</m:t>
        </m:r>
        <m:r>
          <m:t>i</m:t>
        </m:r>
        <m:r>
          <m:t>l</m:t>
        </m:r>
        <m:r>
          <m:t>l</m:t>
        </m:r>
        <m:r>
          <m:t>i</m:t>
        </m:r>
        <m:r>
          <m:t>o</m:t>
        </m:r>
        <m:r>
          <m:t>n</m:t>
        </m:r>
        <m:r>
          <m:rPr>
            <m:sty m:val="p"/>
          </m:rPr>
          <m:t>)</m:t>
        </m:r>
        <m:r>
          <m:t>i</m:t>
        </m:r>
        <m:r>
          <m:t>n</m:t>
        </m:r>
        <m:r>
          <m:t>Q</m:t>
        </m:r>
        <m:r>
          <m:t>1</m:t>
        </m:r>
        <m:r>
          <m:t>a</m:t>
        </m:r>
        <m:r>
          <m:t>n</m:t>
        </m:r>
        <m:r>
          <m:t>d</m:t>
        </m:r>
        <m:r>
          <m:t>h</m:t>
        </m:r>
        <m:r>
          <m:t>a</m:t>
        </m:r>
        <m:r>
          <m:t>s</m:t>
        </m:r>
        <m:r>
          <m:t>a</m:t>
        </m:r>
        <m:r>
          <m:t>p</m:t>
        </m:r>
        <m:r>
          <m:t>e</m:t>
        </m:r>
        <m:r>
          <m:t>n</m:t>
        </m:r>
        <m:r>
          <m:t>d</m:t>
        </m:r>
        <m:r>
          <m:t>i</m:t>
        </m:r>
        <m:r>
          <m:t>n</m:t>
        </m:r>
        <m:r>
          <m:t>g</m:t>
        </m:r>
        <m:r>
          <m:t> </m:t>
        </m:r>
      </m:oMath>
      <w:r>
        <w:t xml:space="preserve">500 million (CAD</w:t>
      </w:r>
      <w:r>
        <w:t xml:space="preserve"> </w:t>
      </w:r>
      <m:oMath>
        <m:r>
          <m:t>675</m:t>
        </m:r>
        <m:r>
          <m:t>M</m:t>
        </m:r>
        <m:r>
          <m:rPr>
            <m:sty m:val="p"/>
          </m:rPr>
          <m:t>)</m:t>
        </m:r>
        <m:r>
          <m:t>a</m:t>
        </m:r>
        <m:r>
          <m:t>c</m:t>
        </m:r>
        <m:r>
          <m:t>q</m:t>
        </m:r>
        <m:r>
          <m:t>u</m:t>
        </m:r>
        <m:r>
          <m:t>i</m:t>
        </m:r>
        <m:r>
          <m:t>s</m:t>
        </m:r>
        <m:r>
          <m:t>i</m:t>
        </m:r>
        <m:r>
          <m:t>t</m:t>
        </m:r>
        <m:r>
          <m:t>i</m:t>
        </m:r>
        <m:r>
          <m:t>o</m:t>
        </m:r>
        <m:r>
          <m:t>n</m:t>
        </m:r>
        <m:r>
          <m:t>o</m:t>
        </m:r>
        <m:r>
          <m:t>f</m:t>
        </m:r>
        <m:r>
          <m:t>B</m:t>
        </m:r>
        <m:r>
          <m:t>e</m:t>
        </m:r>
        <m:r>
          <m:t>l</m:t>
        </m:r>
        <m:r>
          <m:t>l</m:t>
        </m:r>
        <m:r>
          <m:t>C</m:t>
        </m:r>
        <m:r>
          <m:t>a</m:t>
        </m:r>
        <m:r>
          <m:t>n</m:t>
        </m:r>
        <m:r>
          <m:t>a</m:t>
        </m:r>
        <m:r>
          <m:t>d</m:t>
        </m:r>
        <m:sSup>
          <m:e>
            <m:r>
              <m:t>a</m:t>
            </m:r>
          </m:e>
          <m:sup>
            <m:r>
              <m:rPr>
                <m:sty m:val="p"/>
              </m:rPr>
              <m:t>′</m:t>
            </m:r>
          </m:sup>
        </m:sSup>
        <m:r>
          <m:t>s</m:t>
        </m:r>
        <m:r>
          <m:t>L</m:t>
        </m:r>
        <m:r>
          <m:t>M</m:t>
        </m:r>
        <m:r>
          <m:t>R</m:t>
        </m:r>
        <m:r>
          <m:t>n</m:t>
        </m:r>
        <m:r>
          <m:t>e</m:t>
        </m:r>
        <m:r>
          <m:t>t</m:t>
        </m:r>
        <m:r>
          <m:t>w</m:t>
        </m:r>
        <m:r>
          <m:t>o</m:t>
        </m:r>
        <m:r>
          <m:t>r</m:t>
        </m:r>
        <m:r>
          <m:t>k</m:t>
        </m:r>
        <m:r>
          <m:t>s</m:t>
        </m:r>
        <m:r>
          <m:t>e</m:t>
        </m:r>
        <m:r>
          <m:t>r</m:t>
        </m:r>
        <m:r>
          <m:t>v</m:t>
        </m:r>
        <m:r>
          <m:t>i</m:t>
        </m:r>
        <m:r>
          <m:t>c</m:t>
        </m:r>
        <m:r>
          <m:t>e</m:t>
        </m:r>
        <m:r>
          <m:t>s</m:t>
        </m:r>
        <m:r>
          <m:t>b</m:t>
        </m:r>
        <m:r>
          <m:t>u</m:t>
        </m:r>
        <m:r>
          <m:t>s</m:t>
        </m:r>
        <m:r>
          <m:t>i</m:t>
        </m:r>
        <m:r>
          <m:t>n</m:t>
        </m:r>
        <m:r>
          <m:t>e</m:t>
        </m:r>
        <m:r>
          <m:t>s</m:t>
        </m:r>
        <m:r>
          <m:t>s</m:t>
        </m:r>
        <m:r>
          <m:t>e</m:t>
        </m:r>
        <m:r>
          <m:t>x</m:t>
        </m:r>
        <m:r>
          <m:t>p</m:t>
        </m:r>
        <m:r>
          <m:t>e</m:t>
        </m:r>
        <m:r>
          <m:t>c</m:t>
        </m:r>
        <m:r>
          <m:t>t</m:t>
        </m:r>
        <m:r>
          <m:t>e</m:t>
        </m:r>
        <m:r>
          <m:t>d</m:t>
        </m:r>
        <m:r>
          <m:t>t</m:t>
        </m:r>
        <m:r>
          <m:t>o</m:t>
        </m:r>
        <m:r>
          <m:t>c</m:t>
        </m:r>
        <m:r>
          <m:t>l</m:t>
        </m:r>
        <m:r>
          <m:t>o</m:t>
        </m:r>
        <m:r>
          <m:t>s</m:t>
        </m:r>
        <m:r>
          <m:t>e</m:t>
        </m:r>
        <m:r>
          <m:t>i</m:t>
        </m:r>
        <m:r>
          <m:t>n</m:t>
        </m:r>
        <m:r>
          <m:t>Q</m:t>
        </m:r>
        <m:r>
          <m:t>4</m:t>
        </m:r>
        <m:r>
          <m:t>2026</m:t>
        </m:r>
        <m:r>
          <m:rPr>
            <m:sty m:val="p"/>
          </m:rPr>
          <m:t>.</m:t>
        </m:r>
        <m:r>
          <m:t>M</m:t>
        </m:r>
        <m:r>
          <m:t>a</m:t>
        </m:r>
        <m:r>
          <m:t>n</m:t>
        </m:r>
        <m:r>
          <m:t>a</m:t>
        </m:r>
        <m:r>
          <m:t>g</m:t>
        </m:r>
        <m:r>
          <m:t>e</m:t>
        </m:r>
        <m:r>
          <m:t>m</m:t>
        </m:r>
        <m:r>
          <m:t>e</m:t>
        </m:r>
        <m:r>
          <m:t>n</m:t>
        </m:r>
        <m:sSup>
          <m:e>
            <m:r>
              <m:t>t</m:t>
            </m:r>
          </m:e>
          <m:sup>
            <m:r>
              <m:rPr>
                <m:sty m:val="p"/>
              </m:rPr>
              <m:t>′</m:t>
            </m:r>
          </m:sup>
        </m:sSup>
        <m:r>
          <m:t>s</m:t>
        </m:r>
        <m:r>
          <m:t>s</m:t>
        </m:r>
        <m:r>
          <m:t>t</m:t>
        </m:r>
        <m:r>
          <m:t>a</m:t>
        </m:r>
        <m:r>
          <m:t>t</m:t>
        </m:r>
        <m:r>
          <m:t>e</m:t>
        </m:r>
        <m:r>
          <m:t>d</m:t>
        </m:r>
        <m:r>
          <m:t>c</m:t>
        </m:r>
        <m:r>
          <m:t>a</m:t>
        </m:r>
        <m:r>
          <m:t>p</m:t>
        </m:r>
        <m:r>
          <m:t>i</m:t>
        </m:r>
        <m:r>
          <m:t>t</m:t>
        </m:r>
        <m:r>
          <m:t>a</m:t>
        </m:r>
        <m:r>
          <m:t>l</m:t>
        </m:r>
        <m:r>
          <m:t>a</m:t>
        </m:r>
        <m:r>
          <m:t>l</m:t>
        </m:r>
        <m:r>
          <m:t>l</m:t>
        </m:r>
        <m:r>
          <m:t>o</m:t>
        </m:r>
        <m:r>
          <m:t>c</m:t>
        </m:r>
        <m:r>
          <m:t>a</m:t>
        </m:r>
        <m:r>
          <m:t>t</m:t>
        </m:r>
        <m:r>
          <m:t>i</m:t>
        </m:r>
        <m:r>
          <m:t>o</m:t>
        </m:r>
        <m:r>
          <m:t>n</m:t>
        </m:r>
        <m:r>
          <m:t>f</m:t>
        </m:r>
        <m:r>
          <m:t>r</m:t>
        </m:r>
        <m:r>
          <m:t>a</m:t>
        </m:r>
        <m:r>
          <m:t>m</m:t>
        </m:r>
        <m:r>
          <m:t>e</m:t>
        </m:r>
        <m:r>
          <m:t>w</m:t>
        </m:r>
        <m:r>
          <m:t>o</m:t>
        </m:r>
        <m:r>
          <m:t>r</m:t>
        </m:r>
        <m:r>
          <m:t>k</m:t>
        </m:r>
        <m:r>
          <m:t>i</m:t>
        </m:r>
        <m:r>
          <m:t>s</m:t>
        </m:r>
        <m:r>
          <m:t>r</m:t>
        </m:r>
        <m:r>
          <m:t>o</m:t>
        </m:r>
        <m:r>
          <m:t>u</m:t>
        </m:r>
        <m:r>
          <m:t>g</m:t>
        </m:r>
        <m:r>
          <m:t>h</m:t>
        </m:r>
        <m:r>
          <m:t>l</m:t>
        </m:r>
        <m:r>
          <m:t>y</m:t>
        </m:r>
        <m:r>
          <m:t>60</m:t>
        </m:r>
      </m:oMath>
      <w:r>
        <w:t xml:space="preserve">3 billion in expected operating cash flow, with "a lot of powder" for further deals. Expect an update on close timing for Bell Canada and D-Fend, plus buyback pace (Q1 repurchases were $118 million).</w:t>
      </w:r>
    </w:p>
    <w:p>
      <w:pPr>
        <w:pStyle w:val="BodyText"/>
      </w:pPr>
      <w:r>
        <w:rPr>
          <w:b/>
          <w:bCs/>
        </w:rPr>
        <w:t xml:space="preserve">6. Federal/public-safety funding environment.</w:t>
      </w:r>
      <w:r>
        <w:t xml:space="preserve"> </w:t>
      </w:r>
      <w:r>
        <w:t xml:space="preserve">Management expressed confidence that federal agencies are well funded, citing budget tailwinds for ICE/CBP under the "One Big Beautiful Bill Act" and pointing to a $148 million DHS order in Q1. Any commentary on government funding risk, shutdown dynamics, or state/local budget cycles bears watching, given MSI's reliance on long-cycle public-sector procurement.</w:t>
      </w:r>
    </w:p>
    <w:p>
      <w:pPr>
        <w:pStyle w:val="BodyText"/>
      </w:pPr>
      <w:r>
        <w:rPr>
          <w:b/>
          <w:bCs/>
        </w:rPr>
        <w:t xml:space="preserve">7. Competitive dynamics.</w:t>
      </w:r>
      <w:r>
        <w:t xml:space="preserve"> </w:t>
      </w:r>
      <w:r>
        <w:t xml:space="preserve">Axon's move into the 911/command-center market via recent acquisitions was raised on the Q1 call; management said it hasn't seen a material competitive shift and pointed to MSI's presence in over 60% of the roughly 6,000 U.S. public safety answering points and its hybrid on-prem/cloud flexibility as differentiators. Also watch for competitive chatter around counter-drone/airspace security now that both Axon and Motorola (via D-Fend) are pushing into that space.</w:t>
      </w:r>
    </w:p>
    <w:p>
      <w:pPr>
        <w:pStyle w:val="BodyText"/>
      </w:pPr>
      <w:r>
        <w:rPr>
          <w:b/>
          <w:bCs/>
        </w:rPr>
        <w:t xml:space="preserve">8. SVX and AI monetization.</w:t>
      </w:r>
      <w:r>
        <w:t xml:space="preserve"> </w:t>
      </w:r>
      <w:r>
        <w:t xml:space="preserve">The body-worn "assistant" device (SVX) and AI Assist suite (dispatcher/responder/records) were highlighted as fast-growing adoption stories in Q1 (100+ SVX customers, ~30% attaching video, 800% increase in AI-generated report completions). Continued traction here supports the software/services margin mix shift.</w:t>
      </w:r>
    </w:p>
    <w:bookmarkEnd w:id="12"/>
    <w:bookmarkStart w:id="13" w:name="bottom-line"/>
    <w:p>
      <w:pPr>
        <w:pStyle w:val="Heading2"/>
      </w:pPr>
      <w:r>
        <w:t xml:space="preserve">Bottom Line</w:t>
      </w:r>
    </w:p>
    <w:p>
      <w:pPr>
        <w:pStyle w:val="FirstParagraph"/>
      </w:pPr>
      <w:r>
        <w:t xml:space="preserve">MSI heads into Q2 earnings with strong underlying demand signals (record backlog, multiple quarters of double-digit orders growth) and a raised full-year guide already in hand, so the bar is high but achievable given consensus sits near the low-to-mid end of the company's own EPS guidance range. The key swing factor is not whether MSI beats/meets the top line — it's whether commentary on memory costs, tariffs, and gross margin gives investors confidence that the promised 100 bps of margin expansion is intact for H2 and 2027, and whether management provides more clarity on integrating an increasingly acquisitive, defense/counter-drone-tilted portfolio (Silvus, D-Fend, Bell Canada) alongside the core public-safety franchise.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2026-08-05T01:07:14Z</dcterms:created>
  <dcterms:modified xsi:type="dcterms:W3CDTF">2026-08-05T01:07:14Z</dcterms:modified>
</cp:coreProperties>
</file>

<file path=docProps/custom.xml><?xml version="1.0" encoding="utf-8"?>
<Properties xmlns="http://schemas.openxmlformats.org/officeDocument/2006/custom-properties" xmlns:vt="http://schemas.openxmlformats.org/officeDocument/2006/docPropsVTypes"/>
</file>