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i-earnings-predictions--2026-08-05"/>
    <w:p>
      <w:pPr>
        <w:pStyle w:val="Heading1"/>
      </w:pPr>
      <w:r>
        <w:t xml:space="preserve">MSI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~$3.04B vs. cons $3.00B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~$3.96 vs. cons $3.85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~1.5% vs. cons 1.0%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~10.5% vs. cons 10.2%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~$4.55 vs. cons $4.49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~$12.90B vs. cons $12.84B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~$17.14 vs. cons $17.02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(FADE)</w:t>
            </w:r>
          </w:p>
        </w:tc>
        <w:tc>
          <w:tcPr/>
          <w:p>
            <w:pPr>
              <w:pStyle w:val="Compact"/>
            </w:pPr>
            <w:r>
              <w:t xml:space="preserve">The projected FY2026 EPS guide rises ~</w:t>
            </w:r>
            <m:oMath>
              <m:r>
                <m:t>0.12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Q</m:t>
              </m:r>
              <m:r>
                <m:t>2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i</m:t>
              </m:r>
              <m:r>
                <m:t>s</m:t>
              </m:r>
              <m:r>
                <m:t> </m:t>
              </m:r>
            </m:oMath>
            <w:r>
              <w:t xml:space="preserve">0.11, leaving only ~</w:t>
            </w:r>
            <m:oMath>
              <m:r>
                <m:t>0.01</m:t>
              </m:r>
              <m:r>
                <m:t>o</m:t>
              </m:r>
              <m:r>
                <m:t>f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;</m:t>
              </m:r>
              <m:r>
                <m:t>s</m:t>
              </m:r>
              <m:r>
                <m:t>i</m:t>
              </m:r>
              <m:r>
                <m:t>m</m:t>
              </m:r>
              <m:r>
                <m:t>i</m:t>
              </m:r>
              <m:r>
                <m:t>l</m:t>
              </m:r>
              <m:r>
                <m:t>a</m:t>
              </m:r>
              <m:r>
                <m:t>r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60M FY revenue uplift versus consensus exceeds the ~</w:t>
            </w:r>
            <m:oMath>
              <m:r>
                <m:t>40</m:t>
              </m:r>
              <m:r>
                <m:t>M</m:t>
              </m:r>
              <m:r>
                <m:t>Q</m:t>
              </m:r>
              <m:r>
                <m:t>2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b</m:t>
              </m:r>
              <m:r>
                <m:t>y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20M, so limited out-period revisions should partially fade the initial reaction.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2026-08-05T01:04:36Z</dcterms:created>
  <dcterms:modified xsi:type="dcterms:W3CDTF">2026-08-05T01:04:36Z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