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dd03caa0e07a52785bfa91c7e589340d8b92eab"/>
    <w:p>
      <w:pPr>
        <w:pStyle w:val="Heading1"/>
      </w:pPr>
      <w:r>
        <w:t xml:space="preserve">Motorola Solutions (NYSE: MSI) — Q2 2026 Earnings Preview</w:t>
      </w:r>
    </w:p>
    <w:p>
      <w:pPr>
        <w:pStyle w:val="BlockText"/>
      </w:pPr>
      <w:r>
        <w:rPr>
          <w:b/>
          <w:bCs/>
        </w:rPr>
        <w:t xml:space="preserve">Timing clarification:</w:t>
      </w:r>
      <w:r>
        <w:t xml:space="preserve"> </w:t>
      </w:r>
      <w:r>
        <w:t xml:space="preserve">Motorola Solutions is scheduled to report</w:t>
      </w:r>
      <w:r>
        <w:t xml:space="preserve"> </w:t>
      </w:r>
      <w:r>
        <w:rPr>
          <w:b/>
          <w:bCs/>
        </w:rPr>
        <w:t xml:space="preserve">after the market closes today, Wednesday, August 5, 2026</w:t>
      </w:r>
      <w:r>
        <w:t xml:space="preserve">, followed by its earnings call at</w:t>
      </w:r>
      <w:r>
        <w:t xml:space="preserve"> </w:t>
      </w:r>
      <w:r>
        <w:rPr>
          <w:b/>
          <w:bCs/>
        </w:rPr>
        <w:t xml:space="preserve">5:00 p.m. Eastern / 4:00 p.m. Central</w:t>
      </w:r>
      <w:r>
        <w:t xml:space="preserve">. The event is not tomorrow.</w:t>
      </w:r>
    </w:p>
    <w:bookmarkStart w:id="9" w:name="investment-setup"/>
    <w:p>
      <w:pPr>
        <w:pStyle w:val="Heading2"/>
      </w:pPr>
      <w:r>
        <w:t xml:space="preserve">Investment setup</w:t>
      </w:r>
    </w:p>
    <w:p>
      <w:pPr>
        <w:pStyle w:val="FirstParagraph"/>
      </w:pPr>
      <w:r>
        <w:t xml:space="preserve">The central question is not whether Motorola Solutions can produce strong</w:t>
      </w:r>
      <w:r>
        <w:t xml:space="preserve"> </w:t>
      </w:r>
      <w:r>
        <w:rPr>
          <w:b/>
          <w:bCs/>
        </w:rPr>
        <w:t xml:space="preserve">reported</w:t>
      </w:r>
      <w:r>
        <w:t xml:space="preserve"> </w:t>
      </w:r>
      <w:r>
        <w:t xml:space="preserve">growth. The addition of Silvus, favorable currency movements and continued Software and Services momentum should make that achievable.</w:t>
      </w:r>
    </w:p>
    <w:p>
      <w:pPr>
        <w:pStyle w:val="BodyText"/>
      </w:pPr>
      <w:r>
        <w:t xml:space="preserve">The more important questions are:</w:t>
      </w:r>
    </w:p>
    <w:p>
      <w:pPr>
        <w:pStyle w:val="Compact"/>
        <w:numPr>
          <w:ilvl w:val="0"/>
          <w:numId w:val="1001"/>
        </w:numPr>
      </w:pPr>
      <w:r>
        <w:rPr>
          <w:b/>
          <w:bCs/>
        </w:rPr>
        <w:t xml:space="preserve">Has organic growth improved after declining 1% in Q1?</w:t>
      </w:r>
    </w:p>
    <w:p>
      <w:pPr>
        <w:pStyle w:val="Compact"/>
        <w:numPr>
          <w:ilvl w:val="0"/>
          <w:numId w:val="1001"/>
        </w:numPr>
      </w:pPr>
      <w:r>
        <w:rPr>
          <w:b/>
          <w:bCs/>
        </w:rPr>
        <w:t xml:space="preserve">Can Products and Systems Integration margins recover despite memory and tariff costs?</w:t>
      </w:r>
    </w:p>
    <w:p>
      <w:pPr>
        <w:pStyle w:val="Compact"/>
        <w:numPr>
          <w:ilvl w:val="0"/>
          <w:numId w:val="1001"/>
        </w:numPr>
      </w:pPr>
      <w:r>
        <w:rPr>
          <w:b/>
          <w:bCs/>
        </w:rPr>
        <w:t xml:space="preserve">Is Silvus still outperforming the recently raised outlook?</w:t>
      </w:r>
    </w:p>
    <w:p>
      <w:pPr>
        <w:pStyle w:val="Compact"/>
        <w:numPr>
          <w:ilvl w:val="0"/>
          <w:numId w:val="1001"/>
        </w:numPr>
      </w:pPr>
      <w:r>
        <w:rPr>
          <w:b/>
          <w:bCs/>
        </w:rPr>
        <w:t xml:space="preserve">Does management retain confidence in the substantial second-half acceleration embedded in full-year guidance?</w:t>
      </w:r>
    </w:p>
    <w:p>
      <w:pPr>
        <w:pStyle w:val="FirstParagraph"/>
      </w:pPr>
      <w:r>
        <w:t xml:space="preserve">The shares closed at</w:t>
      </w:r>
      <w:r>
        <w:t xml:space="preserve"> </w:t>
      </w:r>
      <w:r>
        <w:rPr>
          <w:b/>
          <w:bCs/>
        </w:rPr>
        <w:t xml:space="preserve">$442.89 on August 4</w:t>
      </w:r>
      <w:r>
        <w:t xml:space="preserve">, approximately</w:t>
      </w:r>
      <w:r>
        <w:t xml:space="preserve"> </w:t>
      </w:r>
      <w:r>
        <w:rPr>
          <w:b/>
          <w:bCs/>
        </w:rPr>
        <w:t xml:space="preserve">26.2x</w:t>
      </w:r>
      <w:r>
        <w:t xml:space="preserve"> </w:t>
      </w:r>
      <w:r>
        <w:t xml:space="preserve">the midpoint of 2026 adjusted EPS guidance. That valuation places a premium on execution and means a simple in-line quarter may not be enough if organic growth or forward guidance disappoints.</w:t>
      </w:r>
    </w:p>
    <w:bookmarkEnd w:id="9"/>
    <w:bookmarkStart w:id="10" w:name="the-reported-hurdle"/>
    <w:p>
      <w:pPr>
        <w:pStyle w:val="Heading2"/>
      </w:pPr>
      <w:r>
        <w:t xml:space="preserve">The reported hurdle</w:t>
      </w:r>
    </w:p>
    <w:p>
      <w:pPr>
        <w:pStyle w:val="FirstParagraph"/>
      </w:pPr>
      <w:r>
        <w:t xml:space="preserve">Management provided the following targets in May: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company outlook</w:t>
            </w:r>
          </w:p>
        </w:tc>
        <w:tc>
          <w:tcPr/>
          <w:p>
            <w:pPr>
              <w:pStyle w:val="Compact"/>
              <w:jc w:val="right"/>
            </w:pPr>
            <w:r>
              <w:t xml:space="preserve">Growth implied</w:t>
            </w:r>
          </w:p>
        </w:tc>
      </w:tr>
      <w:tr>
        <w:tc>
          <w:tcPr/>
          <w:p>
            <w:pPr>
              <w:pStyle w:val="Compact"/>
            </w:pPr>
            <w:r>
              <w:t xml:space="preserve">Revenue</w:t>
            </w:r>
          </w:p>
        </w:tc>
        <w:tc>
          <w:tcPr/>
          <w:p>
            <w:pPr>
              <w:pStyle w:val="Compact"/>
              <w:jc w:val="right"/>
            </w:pPr>
            <w:r>
              <w:t xml:space="preserve">Approximately</w:t>
            </w:r>
            <w:r>
              <w:t xml:space="preserve"> </w:t>
            </w:r>
            <w:r>
              <w:rPr>
                <w:b/>
                <w:bCs/>
              </w:rPr>
              <w:t xml:space="preserve">$3.0 billion</w:t>
            </w:r>
          </w:p>
        </w:tc>
        <w:tc>
          <w:tcPr/>
          <w:p>
            <w:pPr>
              <w:pStyle w:val="Compact"/>
              <w:jc w:val="right"/>
            </w:pPr>
            <w:r>
              <w:rPr>
                <w:b/>
                <w:bCs/>
              </w:rPr>
              <w:t xml:space="preserve">8.5%</w:t>
            </w:r>
          </w:p>
        </w:tc>
      </w:tr>
      <w:tr>
        <w:tc>
          <w:tcPr/>
          <w:p>
            <w:pPr>
              <w:pStyle w:val="Compact"/>
            </w:pPr>
            <w:r>
              <w:t xml:space="preserve">Adjusted EPS</w:t>
            </w:r>
          </w:p>
        </w:tc>
        <w:tc>
          <w:tcPr/>
          <w:p>
            <w:pPr>
              <w:pStyle w:val="Compact"/>
              <w:jc w:val="right"/>
            </w:pPr>
            <m:oMath>
              <m:r>
                <m:t>3.82</m:t>
              </m:r>
              <m:r>
                <m:rPr>
                  <m:sty m:val="p"/>
                </m:rPr>
                <m:t>–</m:t>
              </m:r>
            </m:oMath>
            <w:r>
              <w:rPr>
                <w:b/>
                <w:bCs/>
              </w:rPr>
              <w:t xml:space="preserve">3.88</w:t>
            </w:r>
          </w:p>
        </w:tc>
        <w:tc>
          <w:tcPr/>
          <w:p>
            <w:pPr>
              <w:pStyle w:val="Compact"/>
              <w:jc w:val="right"/>
            </w:pPr>
            <w:r>
              <w:t xml:space="preserve">About</w:t>
            </w:r>
            <w:r>
              <w:t xml:space="preserve"> </w:t>
            </w:r>
            <w:r>
              <w:rPr>
                <w:b/>
                <w:bCs/>
              </w:rPr>
              <w:t xml:space="preserve">8%</w:t>
            </w:r>
            <w:r>
              <w:t xml:space="preserve"> </w:t>
            </w:r>
            <w:r>
              <w:t xml:space="preserve">at midpoint</w:t>
            </w:r>
          </w:p>
        </w:tc>
      </w:tr>
      <w:tr>
        <w:tc>
          <w:tcPr/>
          <w:p>
            <w:pPr>
              <w:pStyle w:val="Compact"/>
            </w:pPr>
            <w:r>
              <w:t xml:space="preserve">Diluted shares</w:t>
            </w:r>
          </w:p>
        </w:tc>
        <w:tc>
          <w:tcPr/>
          <w:p>
            <w:pPr>
              <w:pStyle w:val="Compact"/>
              <w:jc w:val="right"/>
            </w:pPr>
            <w:r>
              <w:t xml:space="preserve">Approximately</w:t>
            </w:r>
            <w:r>
              <w:t xml:space="preserve"> </w:t>
            </w:r>
            <w:r>
              <w:rPr>
                <w:b/>
                <w:bCs/>
              </w:rPr>
              <w:t xml:space="preserve">168 million</w:t>
            </w:r>
          </w:p>
        </w:tc>
        <w:tc>
          <w:tcPr/>
          <w:p>
            <w:pPr>
              <w:pStyle w:val="Compact"/>
              <w:jc w:val="right"/>
            </w:pPr>
            <w:r>
              <w:t xml:space="preserve">—</w:t>
            </w:r>
          </w:p>
        </w:tc>
      </w:tr>
      <w:tr>
        <w:tc>
          <w:tcPr/>
          <w:p>
            <w:pPr>
              <w:pStyle w:val="Compact"/>
            </w:pPr>
            <w:r>
              <w:t xml:space="preserve">Adjusted tax rate</w:t>
            </w:r>
          </w:p>
        </w:tc>
        <w:tc>
          <w:tcPr/>
          <w:p>
            <w:pPr>
              <w:pStyle w:val="Compact"/>
              <w:jc w:val="right"/>
            </w:pPr>
            <w:r>
              <w:t xml:space="preserve">Approximately</w:t>
            </w:r>
            <w:r>
              <w:t xml:space="preserve"> </w:t>
            </w:r>
            <w:r>
              <w:rPr>
                <w:b/>
                <w:bCs/>
              </w:rPr>
              <w:t xml:space="preserve">23%</w:t>
            </w:r>
          </w:p>
        </w:tc>
        <w:tc>
          <w:tcPr/>
          <w:p>
            <w:pPr>
              <w:pStyle w:val="Compact"/>
              <w:jc w:val="right"/>
            </w:pPr>
            <w:r>
              <w:t xml:space="preserve">—</w:t>
            </w:r>
          </w:p>
        </w:tc>
      </w:tr>
    </w:tbl>
    <w:p>
      <w:pPr>
        <w:pStyle w:val="BodyText"/>
      </w:pPr>
      <w:r>
        <w:t xml:space="preserve">Full-year guidance currently stands at: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FY2026 outlook</w:t>
            </w:r>
          </w:p>
        </w:tc>
        <w:tc>
          <w:tcPr/>
          <w:p>
            <w:pPr>
              <w:pStyle w:val="Compact"/>
              <w:jc w:val="right"/>
            </w:pPr>
            <w:r>
              <w:t xml:space="preserve">FY2025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Approximately</w:t>
            </w:r>
            <w:r>
              <w:t xml:space="preserve"> </w:t>
            </w:r>
            <w:r>
              <w:rPr>
                <w:b/>
                <w:bCs/>
              </w:rPr>
              <w:t xml:space="preserve">$12.8 billion</w:t>
            </w:r>
          </w:p>
        </w:tc>
        <w:tc>
          <w:tcPr/>
          <w:p>
            <w:pPr>
              <w:pStyle w:val="Compact"/>
              <w:jc w:val="right"/>
            </w:pPr>
            <w:r>
              <w:t xml:space="preserve">$11.68 billion</w:t>
            </w:r>
          </w:p>
        </w:tc>
        <w:tc>
          <w:tcPr/>
          <w:p>
            <w:pPr>
              <w:pStyle w:val="Compact"/>
              <w:jc w:val="right"/>
            </w:pPr>
            <w:r>
              <w:t xml:space="preserve">About</w:t>
            </w:r>
            <w:r>
              <w:t xml:space="preserve"> </w:t>
            </w:r>
            <w:r>
              <w:rPr>
                <w:b/>
                <w:bCs/>
              </w:rPr>
              <w:t xml:space="preserve">10%</w:t>
            </w:r>
          </w:p>
        </w:tc>
      </w:tr>
      <w:tr>
        <w:tc>
          <w:tcPr/>
          <w:p>
            <w:pPr>
              <w:pStyle w:val="Compact"/>
            </w:pPr>
            <w:r>
              <w:t xml:space="preserve">Adjusted EPS</w:t>
            </w:r>
          </w:p>
        </w:tc>
        <w:tc>
          <w:tcPr/>
          <w:p>
            <w:pPr>
              <w:pStyle w:val="Compact"/>
              <w:jc w:val="right"/>
            </w:pPr>
            <m:oMath>
              <m:r>
                <m:t>16.87</m:t>
              </m:r>
              <m:r>
                <m:rPr>
                  <m:sty m:val="p"/>
                </m:rPr>
                <m:t>–</m:t>
              </m:r>
            </m:oMath>
            <w:r>
              <w:rPr>
                <w:b/>
                <w:bCs/>
              </w:rPr>
              <w:t xml:space="preserve">16.99</w:t>
            </w:r>
          </w:p>
        </w:tc>
        <w:tc>
          <w:tcPr/>
          <w:p>
            <w:pPr>
              <w:pStyle w:val="Compact"/>
              <w:jc w:val="right"/>
            </w:pPr>
            <w:r>
              <w:t xml:space="preserve">$15.38</w:t>
            </w:r>
          </w:p>
        </w:tc>
        <w:tc>
          <w:tcPr/>
          <w:p>
            <w:pPr>
              <w:pStyle w:val="Compact"/>
              <w:jc w:val="right"/>
            </w:pPr>
            <w:r>
              <w:t xml:space="preserve">About</w:t>
            </w:r>
            <w:r>
              <w:t xml:space="preserve"> </w:t>
            </w:r>
            <w:r>
              <w:rPr>
                <w:b/>
                <w:bCs/>
              </w:rPr>
              <w:t xml:space="preserve">10%</w:t>
            </w:r>
          </w:p>
        </w:tc>
      </w:tr>
      <w:tr>
        <w:tc>
          <w:tcPr/>
          <w:p>
            <w:pPr>
              <w:pStyle w:val="Compact"/>
            </w:pPr>
            <w:r>
              <w:t xml:space="preserve">Operating cash flow</w:t>
            </w:r>
          </w:p>
        </w:tc>
        <w:tc>
          <w:tcPr/>
          <w:p>
            <w:pPr>
              <w:pStyle w:val="Compact"/>
              <w:jc w:val="right"/>
            </w:pPr>
            <w:r>
              <w:t xml:space="preserve">Approximately</w:t>
            </w:r>
            <w:r>
              <w:t xml:space="preserve"> </w:t>
            </w:r>
            <w:r>
              <w:rPr>
                <w:b/>
                <w:bCs/>
              </w:rPr>
              <w:t xml:space="preserve">$3.0 billion</w:t>
            </w:r>
          </w:p>
        </w:tc>
        <w:tc>
          <w:tcPr/>
          <w:p>
            <w:pPr>
              <w:pStyle w:val="Compact"/>
              <w:jc w:val="right"/>
            </w:pPr>
            <w:r>
              <w:t xml:space="preserve">$2.84 billion</w:t>
            </w:r>
          </w:p>
        </w:tc>
        <w:tc>
          <w:tcPr/>
          <w:p>
            <w:pPr>
              <w:pStyle w:val="Compact"/>
              <w:jc w:val="right"/>
            </w:pPr>
            <w:r>
              <w:t xml:space="preserve">About</w:t>
            </w:r>
            <w:r>
              <w:t xml:space="preserve"> </w:t>
            </w:r>
            <w:r>
              <w:rPr>
                <w:b/>
                <w:bCs/>
              </w:rPr>
              <w:t xml:space="preserve">6%</w:t>
            </w:r>
          </w:p>
        </w:tc>
      </w:tr>
    </w:tbl>
    <w:p>
      <w:pPr>
        <w:pStyle w:val="BodyText"/>
      </w:pPr>
      <w:r>
        <w:t xml:space="preserve">The company already raised its full-year revenue and EPS outlook following Q1, with $75 million of the $100 million revenue increase attributed to better-than-expected Silvus performance.</w:t>
      </w:r>
    </w:p>
    <w:bookmarkEnd w:id="10"/>
    <w:bookmarkStart w:id="17" w:name="what-matters-most"/>
    <w:p>
      <w:pPr>
        <w:pStyle w:val="Heading2"/>
      </w:pPr>
      <w:r>
        <w:t xml:space="preserve">What matters most</w:t>
      </w:r>
    </w:p>
    <w:bookmarkStart w:id="11" w:name="Xf7b9fa28db38bd75e5583c7c6cdf2df4bd5b5c1"/>
    <w:p>
      <w:pPr>
        <w:pStyle w:val="Heading3"/>
      </w:pPr>
      <w:r>
        <w:t xml:space="preserve">1. Organic growth—not acquisition-assisted growth</w:t>
      </w:r>
    </w:p>
    <w:p>
      <w:pPr>
        <w:pStyle w:val="FirstParagraph"/>
      </w:pPr>
      <w:r>
        <w:t xml:space="preserve">Q1 revenue increased 7% to $2.71 billion, but organic revenue declined 1%. Approximately $222 million of acquisition revenue and $60 million of favorable currency translation supported the headline result.</w:t>
      </w:r>
    </w:p>
    <w:p>
      <w:pPr>
        <w:pStyle w:val="BodyText"/>
      </w:pPr>
      <w:r>
        <w:t xml:space="preserve">That distinction will remain important in Q2. Silvus was acquired in August 2025, so it continues to count as acquired revenue. Investors should separate:</w:t>
      </w:r>
    </w:p>
    <w:p>
      <w:pPr>
        <w:pStyle w:val="Compact"/>
        <w:numPr>
          <w:ilvl w:val="0"/>
          <w:numId w:val="1002"/>
        </w:numPr>
      </w:pPr>
      <w:r>
        <w:t xml:space="preserve">Reported company growth</w:t>
      </w:r>
    </w:p>
    <w:p>
      <w:pPr>
        <w:pStyle w:val="Compact"/>
        <w:numPr>
          <w:ilvl w:val="0"/>
          <w:numId w:val="1002"/>
        </w:numPr>
      </w:pPr>
      <w:r>
        <w:t xml:space="preserve">Organic growth</w:t>
      </w:r>
    </w:p>
    <w:p>
      <w:pPr>
        <w:pStyle w:val="Compact"/>
        <w:numPr>
          <w:ilvl w:val="0"/>
          <w:numId w:val="1002"/>
        </w:numPr>
      </w:pPr>
      <w:r>
        <w:t xml:space="preserve">Silvus growth</w:t>
      </w:r>
    </w:p>
    <w:p>
      <w:pPr>
        <w:pStyle w:val="Compact"/>
        <w:numPr>
          <w:ilvl w:val="0"/>
          <w:numId w:val="1002"/>
        </w:numPr>
      </w:pPr>
      <w:r>
        <w:t xml:space="preserve">Foreign-exchange effects</w:t>
      </w:r>
    </w:p>
    <w:p>
      <w:pPr>
        <w:pStyle w:val="Compact"/>
        <w:numPr>
          <w:ilvl w:val="0"/>
          <w:numId w:val="1002"/>
        </w:numPr>
      </w:pPr>
      <w:r>
        <w:t xml:space="preserve">Growth in the underlying public-safety portfolio</w:t>
      </w:r>
    </w:p>
    <w:p>
      <w:pPr>
        <w:pStyle w:val="FirstParagraph"/>
      </w:pPr>
      <w:r>
        <w:t xml:space="preserve">A return to positive organic growth would materially improve the quality of the result. Another organic decline could reinforce concerns that acquisitions are masking a slower core business.</w:t>
      </w:r>
    </w:p>
    <w:bookmarkEnd w:id="11"/>
    <w:bookmarkStart w:id="12" w:name="Xac988612116167b5d3b58afdf49b67e5d4a90cb"/>
    <w:p>
      <w:pPr>
        <w:pStyle w:val="Heading3"/>
      </w:pPr>
      <w:r>
        <w:t xml:space="preserve">2. The expected LMR and Products inflection</w:t>
      </w:r>
    </w:p>
    <w:p>
      <w:pPr>
        <w:pStyle w:val="FirstParagraph"/>
      </w:pPr>
      <w:r>
        <w:t xml:space="preserve">Products and Systems Integration revenue increased just 1% in Q1, while Mission Critical Networks declined against difficult comparisons. Management characterized Q2 as the final quarter facing elevated LMR comparisons created by the post-shortage shipment catch-up.</w:t>
      </w:r>
    </w:p>
    <w:p>
      <w:pPr>
        <w:pStyle w:val="BodyText"/>
      </w:pPr>
      <w:r>
        <w:t xml:space="preserve">The company expects much stronger performance afterward. At a June investor conference, CFO Jason Winkler said second-half Products organic growth should approach 10%, with core Mission Critical Networks/LMR helping drive that acceleration.</w:t>
      </w:r>
    </w:p>
    <w:p>
      <w:pPr>
        <w:pStyle w:val="BodyText"/>
      </w:pPr>
      <w:r>
        <w:t xml:space="preserve">Evidence supporting the outlook includes:</w:t>
      </w:r>
    </w:p>
    <w:p>
      <w:pPr>
        <w:pStyle w:val="Compact"/>
        <w:numPr>
          <w:ilvl w:val="0"/>
          <w:numId w:val="1003"/>
        </w:numPr>
      </w:pPr>
      <w:r>
        <w:t xml:space="preserve">Four consecutive quarters of double-digit product-order growth through Q1</w:t>
      </w:r>
    </w:p>
    <w:p>
      <w:pPr>
        <w:pStyle w:val="Compact"/>
        <w:numPr>
          <w:ilvl w:val="0"/>
          <w:numId w:val="1003"/>
        </w:numPr>
      </w:pPr>
      <w:r>
        <w:t xml:space="preserve">Product backlog increasing sequentially in Q1, better than management expected</w:t>
      </w:r>
    </w:p>
    <w:p>
      <w:pPr>
        <w:pStyle w:val="Compact"/>
        <w:numPr>
          <w:ilvl w:val="0"/>
          <w:numId w:val="1003"/>
        </w:numPr>
      </w:pPr>
      <w:r>
        <w:t xml:space="preserve">Demand for APX NEXT radios, D-Series infrastructure and federal public-safety equipment</w:t>
      </w:r>
    </w:p>
    <w:p>
      <w:pPr>
        <w:pStyle w:val="Compact"/>
        <w:numPr>
          <w:ilvl w:val="0"/>
          <w:numId w:val="1003"/>
        </w:numPr>
      </w:pPr>
      <w:r>
        <w:t xml:space="preserve">Funding support from defense, homeland-security and border-security programs</w:t>
      </w:r>
    </w:p>
    <w:p>
      <w:pPr>
        <w:pStyle w:val="FirstParagraph"/>
      </w:pPr>
      <w:r>
        <w:t xml:space="preserve">Investors should listen for whether management still expects that second-half acceleration—or whether shipments, customer approvals or component availability have shifted.</w:t>
      </w:r>
    </w:p>
    <w:bookmarkEnd w:id="12"/>
    <w:bookmarkStart w:id="13" w:name="X1a67f15229caba92e7a1764cc6ea94c53f2fe7f"/>
    <w:p>
      <w:pPr>
        <w:pStyle w:val="Heading3"/>
      </w:pPr>
      <w:r>
        <w:t xml:space="preserve">3. Silvus: the most important upside engine</w:t>
      </w:r>
    </w:p>
    <w:p>
      <w:pPr>
        <w:pStyle w:val="FirstParagraph"/>
      </w:pPr>
      <w:r>
        <w:t xml:space="preserve">Silvus has quickly become central to the MSI growth thesis. Management raised its expected 2026 revenue to</w:t>
      </w:r>
      <w:r>
        <w:t xml:space="preserve"> </w:t>
      </w:r>
      <w:r>
        <w:rPr>
          <w:b/>
          <w:bCs/>
        </w:rPr>
        <w:t xml:space="preserve">$750 million</w:t>
      </w:r>
      <w:r>
        <w:t xml:space="preserve">, described demand as stronger than expected and said the business was operating at roughly a</w:t>
      </w:r>
      <w:r>
        <w:t xml:space="preserve"> </w:t>
      </w:r>
      <w:r>
        <w:rPr>
          <w:b/>
          <w:bCs/>
        </w:rPr>
        <w:t xml:space="preserve">45% EBITDA margin</w:t>
      </w:r>
      <w:r>
        <w:t xml:space="preserve">.</w:t>
      </w:r>
    </w:p>
    <w:p>
      <w:pPr>
        <w:pStyle w:val="BodyText"/>
      </w:pPr>
      <w:r>
        <w:t xml:space="preserve">Demand has been led by international defense customers, including NATO allies, while MSI is also working to expand penetration across U.S. military branches. The technology provides resilient mobile networking for drones and other battlefield systems.</w:t>
      </w:r>
    </w:p>
    <w:p>
      <w:pPr>
        <w:pStyle w:val="BodyText"/>
      </w:pPr>
      <w:r>
        <w:t xml:space="preserve">Key questions include:</w:t>
      </w:r>
    </w:p>
    <w:p>
      <w:pPr>
        <w:pStyle w:val="Compact"/>
        <w:numPr>
          <w:ilvl w:val="0"/>
          <w:numId w:val="1004"/>
        </w:numPr>
      </w:pPr>
      <w:r>
        <w:t xml:space="preserve">Is the $750 million outlook raised again?</w:t>
      </w:r>
    </w:p>
    <w:p>
      <w:pPr>
        <w:pStyle w:val="Compact"/>
        <w:numPr>
          <w:ilvl w:val="0"/>
          <w:numId w:val="1004"/>
        </w:numPr>
      </w:pPr>
      <w:r>
        <w:t xml:space="preserve">Are orders still growing faster than revenue?</w:t>
      </w:r>
    </w:p>
    <w:p>
      <w:pPr>
        <w:pStyle w:val="Compact"/>
        <w:numPr>
          <w:ilvl w:val="0"/>
          <w:numId w:val="1004"/>
        </w:numPr>
      </w:pPr>
      <w:r>
        <w:t xml:space="preserve">Is demand broadening beyond Ukraine-related deployments?</w:t>
      </w:r>
    </w:p>
    <w:p>
      <w:pPr>
        <w:pStyle w:val="Compact"/>
        <w:numPr>
          <w:ilvl w:val="0"/>
          <w:numId w:val="1004"/>
        </w:numPr>
      </w:pPr>
      <w:r>
        <w:t xml:space="preserve">Can manufacturing capacity keep pace?</w:t>
      </w:r>
    </w:p>
    <w:p>
      <w:pPr>
        <w:pStyle w:val="Compact"/>
        <w:numPr>
          <w:ilvl w:val="0"/>
          <w:numId w:val="1004"/>
        </w:numPr>
      </w:pPr>
      <w:r>
        <w:t xml:space="preserve">Are margins remaining around or above the 45% level after additional sales and R&amp;D investment?</w:t>
      </w:r>
    </w:p>
    <w:p>
      <w:pPr>
        <w:pStyle w:val="Compact"/>
        <w:numPr>
          <w:ilvl w:val="0"/>
          <w:numId w:val="1004"/>
        </w:numPr>
      </w:pPr>
      <w:r>
        <w:t xml:space="preserve">Does management see similar growth durability into 2027?</w:t>
      </w:r>
    </w:p>
    <w:p>
      <w:pPr>
        <w:pStyle w:val="FirstParagraph"/>
      </w:pPr>
      <w:r>
        <w:t xml:space="preserve">Silvus appears to be both faster-growing and more profitable than MSI initially assumed. Continued upside here could offset slower near-term organic LMR growth.</w:t>
      </w:r>
    </w:p>
    <w:bookmarkEnd w:id="13"/>
    <w:bookmarkStart w:id="14" w:name="Xea9ae57307f98f4e6e608a4a7b1f14a34e200ca"/>
    <w:p>
      <w:pPr>
        <w:pStyle w:val="Heading3"/>
      </w:pPr>
      <w:r>
        <w:t xml:space="preserve">4. Margin recovery amid higher component costs</w:t>
      </w:r>
    </w:p>
    <w:p>
      <w:pPr>
        <w:pStyle w:val="FirstParagraph"/>
      </w:pPr>
      <w:r>
        <w:t xml:space="preserve">Q1 adjusted operating margin expanded 50 basis points to 28.8%, but the segment picture was mixed:</w:t>
      </w:r>
    </w:p>
    <w:p>
      <w:pPr>
        <w:pStyle w:val="Compact"/>
        <w:numPr>
          <w:ilvl w:val="0"/>
          <w:numId w:val="1005"/>
        </w:numPr>
      </w:pPr>
      <w:r>
        <w:rPr>
          <w:b/>
          <w:bCs/>
        </w:rPr>
        <w:t xml:space="preserve">Products and Systems Integration:</w:t>
      </w:r>
      <w:r>
        <w:t xml:space="preserve"> </w:t>
      </w:r>
      <w:r>
        <w:t xml:space="preserve">24.8%, down 330 basis points</w:t>
      </w:r>
    </w:p>
    <w:p>
      <w:pPr>
        <w:pStyle w:val="Compact"/>
        <w:numPr>
          <w:ilvl w:val="0"/>
          <w:numId w:val="1005"/>
        </w:numPr>
      </w:pPr>
      <w:r>
        <w:rPr>
          <w:b/>
          <w:bCs/>
        </w:rPr>
        <w:t xml:space="preserve">Software and Services:</w:t>
      </w:r>
      <w:r>
        <w:t xml:space="preserve"> </w:t>
      </w:r>
      <w:r>
        <w:t xml:space="preserve">34.2%, up 550 basis points</w:t>
      </w:r>
    </w:p>
    <w:p>
      <w:pPr>
        <w:pStyle w:val="FirstParagraph"/>
      </w:pPr>
      <w:r>
        <w:t xml:space="preserve">Products margins were hurt by mix and higher supply-chain costs. MSI expects memory spending to more than double from roughly $50 million in 2025, while approximately $60 million of tariff headwinds was expected to be concentrated primarily in the first half.</w:t>
      </w:r>
    </w:p>
    <w:p>
      <w:pPr>
        <w:pStyle w:val="BodyText"/>
      </w:pPr>
      <w:r>
        <w:t xml:space="preserve">Management nevertheless maintained its target for approximately</w:t>
      </w:r>
      <w:r>
        <w:t xml:space="preserve"> </w:t>
      </w:r>
      <w:r>
        <w:rPr>
          <w:b/>
          <w:bCs/>
        </w:rPr>
        <w:t xml:space="preserve">100 basis points of full-year adjusted operating-margin expansion</w:t>
      </w:r>
      <w:r>
        <w:t xml:space="preserve">, with both segments contributing.</w:t>
      </w:r>
    </w:p>
    <w:p>
      <w:pPr>
        <w:pStyle w:val="BodyText"/>
      </w:pPr>
      <w:r>
        <w:t xml:space="preserve">That makes Products margin one of the most important numbers in the release. A recovery would indicate that pricing, procurement savings and volume leverage are offsetting higher component costs. Continued weakness would make the full-year margin target harder to achieve.</w:t>
      </w:r>
    </w:p>
    <w:bookmarkEnd w:id="14"/>
    <w:bookmarkStart w:id="15" w:name="X68da739cb3b6600bf4e49f6e7d76c26d0482a3a"/>
    <w:p>
      <w:pPr>
        <w:pStyle w:val="Heading3"/>
      </w:pPr>
      <w:r>
        <w:t xml:space="preserve">5. Software and Services durability</w:t>
      </w:r>
    </w:p>
    <w:p>
      <w:pPr>
        <w:pStyle w:val="FirstParagraph"/>
      </w:pPr>
      <w:r>
        <w:t xml:space="preserve">Software and Services was Q1’s standout, with revenue up 18% and adjusted operating income up 40%. Command Center grew 27%, aided by several large next-generation 911 deployments and subscription activations.</w:t>
      </w:r>
    </w:p>
    <w:p>
      <w:pPr>
        <w:pStyle w:val="BodyText"/>
      </w:pPr>
      <w:r>
        <w:t xml:space="preserve">Management cautioned that the 18% segment growth rate should moderate because Q1 included deployment-related revenue true-ups. Investors should therefore avoid treating slower Q2 growth as automatically negative.</w:t>
      </w:r>
    </w:p>
    <w:p>
      <w:pPr>
        <w:pStyle w:val="BodyText"/>
      </w:pPr>
      <w:r>
        <w:t xml:space="preserve">More useful indicators will be:</w:t>
      </w:r>
    </w:p>
    <w:p>
      <w:pPr>
        <w:pStyle w:val="Compact"/>
        <w:numPr>
          <w:ilvl w:val="0"/>
          <w:numId w:val="1006"/>
        </w:numPr>
      </w:pPr>
      <w:r>
        <w:t xml:space="preserve">New Command Center orders</w:t>
      </w:r>
    </w:p>
    <w:p>
      <w:pPr>
        <w:pStyle w:val="Compact"/>
        <w:numPr>
          <w:ilvl w:val="0"/>
          <w:numId w:val="1006"/>
        </w:numPr>
      </w:pPr>
      <w:r>
        <w:t xml:space="preserve">Cloud and hybrid subscription adoption</w:t>
      </w:r>
    </w:p>
    <w:p>
      <w:pPr>
        <w:pStyle w:val="Compact"/>
        <w:numPr>
          <w:ilvl w:val="0"/>
          <w:numId w:val="1006"/>
        </w:numPr>
      </w:pPr>
      <w:r>
        <w:t xml:space="preserve">APX NEXT application revenue</w:t>
      </w:r>
    </w:p>
    <w:p>
      <w:pPr>
        <w:pStyle w:val="Compact"/>
        <w:numPr>
          <w:ilvl w:val="0"/>
          <w:numId w:val="1006"/>
        </w:numPr>
      </w:pPr>
      <w:r>
        <w:t xml:space="preserve">AI Assist attachment rates</w:t>
      </w:r>
    </w:p>
    <w:p>
      <w:pPr>
        <w:pStyle w:val="Compact"/>
        <w:numPr>
          <w:ilvl w:val="0"/>
          <w:numId w:val="1006"/>
        </w:numPr>
      </w:pPr>
      <w:r>
        <w:t xml:space="preserve">Software and Services backlog</w:t>
      </w:r>
    </w:p>
    <w:p>
      <w:pPr>
        <w:pStyle w:val="Compact"/>
        <w:numPr>
          <w:ilvl w:val="0"/>
          <w:numId w:val="1006"/>
        </w:numPr>
      </w:pPr>
      <w:r>
        <w:t xml:space="preserve">Segment margin sustainability</w:t>
      </w:r>
    </w:p>
    <w:p>
      <w:pPr>
        <w:pStyle w:val="FirstParagraph"/>
      </w:pPr>
      <w:r>
        <w:t xml:space="preserve">MSI has said every Q1 VESTA NXT sale included its Assist dispatcher suite. Continued high attachment would support the case that AI is driving monetization rather than simply serving as a marketing feature.</w:t>
      </w:r>
    </w:p>
    <w:bookmarkEnd w:id="15"/>
    <w:bookmarkStart w:id="16" w:name="X0598ef018764d0109aa9371501668b53f580a63"/>
    <w:p>
      <w:pPr>
        <w:pStyle w:val="Heading3"/>
      </w:pPr>
      <w:r>
        <w:t xml:space="preserve">6. Orders and backlog quality</w:t>
      </w:r>
    </w:p>
    <w:p>
      <w:pPr>
        <w:pStyle w:val="FirstParagraph"/>
      </w:pPr>
      <w:r>
        <w:t xml:space="preserve">MSI ended Q1 with</w:t>
      </w:r>
      <w:r>
        <w:t xml:space="preserve"> </w:t>
      </w:r>
      <w:r>
        <w:rPr>
          <w:b/>
          <w:bCs/>
        </w:rPr>
        <w:t xml:space="preserve">$15.7 billion of backlog</w:t>
      </w:r>
      <w:r>
        <w:t xml:space="preserve">, up 11% year over year, following record Q1 orders. The total was roughly unchanged from year-end, while product backlog improved sequentially.</w:t>
      </w:r>
    </w:p>
    <w:p>
      <w:pPr>
        <w:pStyle w:val="BodyText"/>
      </w:pPr>
      <w:r>
        <w:t xml:space="preserve">Watch for:</w:t>
      </w:r>
    </w:p>
    <w:p>
      <w:pPr>
        <w:pStyle w:val="Compact"/>
        <w:numPr>
          <w:ilvl w:val="0"/>
          <w:numId w:val="1007"/>
        </w:numPr>
      </w:pPr>
      <w:r>
        <w:t xml:space="preserve">Continued double-digit product-order growth</w:t>
      </w:r>
    </w:p>
    <w:p>
      <w:pPr>
        <w:pStyle w:val="Compact"/>
        <w:numPr>
          <w:ilvl w:val="0"/>
          <w:numId w:val="1007"/>
        </w:numPr>
      </w:pPr>
      <w:r>
        <w:t xml:space="preserve">Sequential product-backlog expansion</w:t>
      </w:r>
    </w:p>
    <w:p>
      <w:pPr>
        <w:pStyle w:val="Compact"/>
        <w:numPr>
          <w:ilvl w:val="0"/>
          <w:numId w:val="1007"/>
        </w:numPr>
      </w:pPr>
      <w:r>
        <w:t xml:space="preserve">Backlog growth excluding currency</w:t>
      </w:r>
    </w:p>
    <w:p>
      <w:pPr>
        <w:pStyle w:val="Compact"/>
        <w:numPr>
          <w:ilvl w:val="0"/>
          <w:numId w:val="1007"/>
        </w:numPr>
      </w:pPr>
      <w:r>
        <w:t xml:space="preserve">Any change in contract duration</w:t>
      </w:r>
    </w:p>
    <w:p>
      <w:pPr>
        <w:pStyle w:val="Compact"/>
        <w:numPr>
          <w:ilvl w:val="0"/>
          <w:numId w:val="1007"/>
        </w:numPr>
      </w:pPr>
      <w:r>
        <w:t xml:space="preserve">The amount expected to convert into revenue over the next 12 months</w:t>
      </w:r>
    </w:p>
    <w:p>
      <w:pPr>
        <w:pStyle w:val="FirstParagraph"/>
      </w:pPr>
      <w:r>
        <w:t xml:space="preserve">Strong orders would validate management’s second-half growth expectations even if Q2 LMR revenue remains soft against difficult comparisons.</w:t>
      </w:r>
    </w:p>
    <w:bookmarkEnd w:id="16"/>
    <w:bookmarkEnd w:id="17"/>
    <w:bookmarkStart w:id="18" w:name="capital-allocation-and-ma"/>
    <w:p>
      <w:pPr>
        <w:pStyle w:val="Heading2"/>
      </w:pPr>
      <w:r>
        <w:t xml:space="preserve">Capital allocation and M&amp;A</w:t>
      </w:r>
    </w:p>
    <w:p>
      <w:pPr>
        <w:pStyle w:val="FirstParagraph"/>
      </w:pPr>
      <w:r>
        <w:t xml:space="preserve">MSI’s acquisition strategy is becoming a larger part of the investment case—and of its financial risk profile.</w:t>
      </w:r>
    </w:p>
    <w:p>
      <w:pPr>
        <w:pStyle w:val="BodyText"/>
      </w:pPr>
      <w:r>
        <w:t xml:space="preserve">Following the $4.4 billion Silvus purchase, MSI has agreed to acquire:</w:t>
      </w:r>
    </w:p>
    <w:p>
      <w:pPr>
        <w:pStyle w:val="Compact"/>
        <w:numPr>
          <w:ilvl w:val="0"/>
          <w:numId w:val="1008"/>
        </w:numPr>
      </w:pPr>
      <w:r>
        <w:rPr>
          <w:b/>
          <w:bCs/>
        </w:rPr>
        <w:t xml:space="preserve">D-Fend Solutions for $1.5 billion</w:t>
      </w:r>
      <w:r>
        <w:t xml:space="preserve">, adding counter-drone detection and cyber-takeover technology</w:t>
      </w:r>
    </w:p>
    <w:p>
      <w:pPr>
        <w:pStyle w:val="Compact"/>
        <w:numPr>
          <w:ilvl w:val="0"/>
          <w:numId w:val="1008"/>
        </w:numPr>
      </w:pPr>
      <w:r>
        <w:rPr>
          <w:b/>
          <w:bCs/>
        </w:rPr>
        <w:t xml:space="preserve">Bell Canada’s LMR network-services business for approximately $500 million</w:t>
      </w:r>
      <w:r>
        <w:t xml:space="preserve">, adding roughly $100 million of recurring annual revenue</w:t>
      </w:r>
    </w:p>
    <w:p>
      <w:pPr>
        <w:pStyle w:val="FirstParagraph"/>
      </w:pPr>
      <w:r>
        <w:t xml:space="preserve">Both transactions are expected to close in Q4. D-Fend was expected to generate approximately $185 million of 2026 revenue and be slightly accretive in 2027.</w:t>
      </w:r>
    </w:p>
    <w:p>
      <w:pPr>
        <w:pStyle w:val="BodyText"/>
      </w:pPr>
      <w:r>
        <w:t xml:space="preserve">Management previously indicated the transactions could require approximately $1 billion of additional debt. Investors should seek updated commentary on:</w:t>
      </w:r>
    </w:p>
    <w:p>
      <w:pPr>
        <w:pStyle w:val="Compact"/>
        <w:numPr>
          <w:ilvl w:val="0"/>
          <w:numId w:val="1009"/>
        </w:numPr>
      </w:pPr>
      <w:r>
        <w:t xml:space="preserve">Regulatory and closing timelines</w:t>
      </w:r>
    </w:p>
    <w:p>
      <w:pPr>
        <w:pStyle w:val="Compact"/>
        <w:numPr>
          <w:ilvl w:val="0"/>
          <w:numId w:val="1009"/>
        </w:numPr>
      </w:pPr>
      <w:r>
        <w:t xml:space="preserve">Financing and pro forma leverage</w:t>
      </w:r>
    </w:p>
    <w:p>
      <w:pPr>
        <w:pStyle w:val="Compact"/>
        <w:numPr>
          <w:ilvl w:val="0"/>
          <w:numId w:val="1009"/>
        </w:numPr>
      </w:pPr>
      <w:r>
        <w:t xml:space="preserve">Whether the acquisitions affect 2026 guidance</w:t>
      </w:r>
    </w:p>
    <w:p>
      <w:pPr>
        <w:pStyle w:val="Compact"/>
        <w:numPr>
          <w:ilvl w:val="0"/>
          <w:numId w:val="1009"/>
        </w:numPr>
      </w:pPr>
      <w:r>
        <w:t xml:space="preserve">Integration capacity after several recent deals</w:t>
      </w:r>
    </w:p>
    <w:p>
      <w:pPr>
        <w:pStyle w:val="Compact"/>
        <w:numPr>
          <w:ilvl w:val="0"/>
          <w:numId w:val="1009"/>
        </w:numPr>
      </w:pPr>
      <w:r>
        <w:t xml:space="preserve">The pace of share repurchases versus debt repayment</w:t>
      </w:r>
    </w:p>
    <w:p>
      <w:pPr>
        <w:pStyle w:val="FirstParagraph"/>
      </w:pPr>
      <w:r>
        <w:t xml:space="preserve">Q1 cash generation was softer because of inventory investment and higher interest expense. Operating cash flow fell to $451 million from $510 million, while inventory increased by nearly $200 million during the quarter. Management needs to show that this was primarily timing and preparation for stronger shipments rather than a deterioration in working-capital efficiency.</w:t>
      </w:r>
    </w:p>
    <w:bookmarkEnd w:id="18"/>
    <w:bookmarkStart w:id="21" w:name="bull-and-bear-outcomes"/>
    <w:p>
      <w:pPr>
        <w:pStyle w:val="Heading2"/>
      </w:pPr>
      <w:r>
        <w:t xml:space="preserve">Bull and bear outcomes</w:t>
      </w:r>
    </w:p>
    <w:bookmarkStart w:id="19" w:name="bull-case"/>
    <w:p>
      <w:pPr>
        <w:pStyle w:val="Heading3"/>
      </w:pPr>
      <w:r>
        <w:t xml:space="preserve">Bull case</w:t>
      </w:r>
    </w:p>
    <w:p>
      <w:pPr>
        <w:pStyle w:val="Compact"/>
        <w:numPr>
          <w:ilvl w:val="0"/>
          <w:numId w:val="1010"/>
        </w:numPr>
      </w:pPr>
      <w:r>
        <w:t xml:space="preserve">Revenue and EPS finish above the guided ranges</w:t>
      </w:r>
    </w:p>
    <w:p>
      <w:pPr>
        <w:pStyle w:val="Compact"/>
        <w:numPr>
          <w:ilvl w:val="0"/>
          <w:numId w:val="1010"/>
        </w:numPr>
      </w:pPr>
      <w:r>
        <w:t xml:space="preserve">Organic growth returns to positive territory</w:t>
      </w:r>
    </w:p>
    <w:p>
      <w:pPr>
        <w:pStyle w:val="Compact"/>
        <w:numPr>
          <w:ilvl w:val="0"/>
          <w:numId w:val="1010"/>
        </w:numPr>
      </w:pPr>
      <w:r>
        <w:t xml:space="preserve">Silvus guidance increases again</w:t>
      </w:r>
    </w:p>
    <w:p>
      <w:pPr>
        <w:pStyle w:val="Compact"/>
        <w:numPr>
          <w:ilvl w:val="0"/>
          <w:numId w:val="1010"/>
        </w:numPr>
      </w:pPr>
      <w:r>
        <w:t xml:space="preserve">Product orders and backlog remain strong</w:t>
      </w:r>
    </w:p>
    <w:p>
      <w:pPr>
        <w:pStyle w:val="Compact"/>
        <w:numPr>
          <w:ilvl w:val="0"/>
          <w:numId w:val="1010"/>
        </w:numPr>
      </w:pPr>
      <w:r>
        <w:t xml:space="preserve">Products margin begins recovering</w:t>
      </w:r>
    </w:p>
    <w:p>
      <w:pPr>
        <w:pStyle w:val="Compact"/>
        <w:numPr>
          <w:ilvl w:val="0"/>
          <w:numId w:val="1010"/>
        </w:numPr>
      </w:pPr>
      <w:r>
        <w:t xml:space="preserve">Full-year revenue, EPS or cash-flow guidance rises</w:t>
      </w:r>
    </w:p>
    <w:p>
      <w:pPr>
        <w:pStyle w:val="Compact"/>
        <w:numPr>
          <w:ilvl w:val="0"/>
          <w:numId w:val="1010"/>
        </w:numPr>
      </w:pPr>
      <w:r>
        <w:t xml:space="preserve">Management reiterates high-single-digit to double-digit second-half core growth</w:t>
      </w:r>
    </w:p>
    <w:bookmarkEnd w:id="19"/>
    <w:bookmarkStart w:id="20" w:name="bear-case"/>
    <w:p>
      <w:pPr>
        <w:pStyle w:val="Heading3"/>
      </w:pPr>
      <w:r>
        <w:t xml:space="preserve">Bear case</w:t>
      </w:r>
    </w:p>
    <w:p>
      <w:pPr>
        <w:pStyle w:val="Compact"/>
        <w:numPr>
          <w:ilvl w:val="0"/>
          <w:numId w:val="1011"/>
        </w:numPr>
      </w:pPr>
      <w:r>
        <w:t xml:space="preserve">Headline growth is driven almost entirely by acquisitions and FX</w:t>
      </w:r>
    </w:p>
    <w:p>
      <w:pPr>
        <w:pStyle w:val="Compact"/>
        <w:numPr>
          <w:ilvl w:val="0"/>
          <w:numId w:val="1011"/>
        </w:numPr>
      </w:pPr>
      <w:r>
        <w:t xml:space="preserve">Organic revenue remains negative</w:t>
      </w:r>
    </w:p>
    <w:p>
      <w:pPr>
        <w:pStyle w:val="Compact"/>
        <w:numPr>
          <w:ilvl w:val="0"/>
          <w:numId w:val="1011"/>
        </w:numPr>
      </w:pPr>
      <w:r>
        <w:t xml:space="preserve">LMR weakness extends beyond Q2</w:t>
      </w:r>
    </w:p>
    <w:p>
      <w:pPr>
        <w:pStyle w:val="Compact"/>
        <w:numPr>
          <w:ilvl w:val="0"/>
          <w:numId w:val="1011"/>
        </w:numPr>
      </w:pPr>
      <w:r>
        <w:t xml:space="preserve">Memory and tariff costs delay Products margin recovery</w:t>
      </w:r>
    </w:p>
    <w:p>
      <w:pPr>
        <w:pStyle w:val="Compact"/>
        <w:numPr>
          <w:ilvl w:val="0"/>
          <w:numId w:val="1011"/>
        </w:numPr>
      </w:pPr>
      <w:r>
        <w:t xml:space="preserve">Silvus orders prove volatile or capacity-constrained</w:t>
      </w:r>
    </w:p>
    <w:p>
      <w:pPr>
        <w:pStyle w:val="Compact"/>
        <w:numPr>
          <w:ilvl w:val="0"/>
          <w:numId w:val="1011"/>
        </w:numPr>
      </w:pPr>
      <w:r>
        <w:t xml:space="preserve">Full-year guidance is maintained but requires an increasingly steep Q4 ramp</w:t>
      </w:r>
    </w:p>
    <w:p>
      <w:pPr>
        <w:pStyle w:val="Compact"/>
        <w:numPr>
          <w:ilvl w:val="0"/>
          <w:numId w:val="1011"/>
        </w:numPr>
      </w:pPr>
      <w:r>
        <w:t xml:space="preserve">Additional acquisition debt restricts repurchases or raises integration concerns</w:t>
      </w:r>
    </w:p>
    <w:bookmarkEnd w:id="20"/>
    <w:bookmarkEnd w:id="21"/>
    <w:bookmarkStart w:id="22" w:name="bottom-line"/>
    <w:p>
      <w:pPr>
        <w:pStyle w:val="Heading2"/>
      </w:pPr>
      <w:r>
        <w:t xml:space="preserve">Bottom line</w:t>
      </w:r>
    </w:p>
    <w:p>
      <w:pPr>
        <w:pStyle w:val="FirstParagraph"/>
      </w:pPr>
      <w:r>
        <w:t xml:space="preserve">MSI enters Q2 with unusually strong demand indicators, a record backlog and an acquisition that is materially outperforming expectations. At the same time, Q1 exposed weaker organic growth, pressure in the Products segment and rising dependence on acquired revenue.</w:t>
      </w:r>
    </w:p>
    <w:p>
      <w:pPr>
        <w:pStyle w:val="BodyText"/>
      </w:pPr>
      <w:r>
        <w:rPr>
          <w:b/>
          <w:bCs/>
        </w:rPr>
        <w:t xml:space="preserve">The cleanest positive print would combine approximately $3 billion of revenue and EPS above $3.88 with positive organic growth, recovering Products margins and another strong Silvus update.</w:t>
      </w:r>
      <w:r>
        <w:t xml:space="preserve"> </w:t>
      </w:r>
      <w:r>
        <w:t xml:space="preserve">Conversely, an adjusted EPS beat driven by acquisition revenue or tax items—without improved core growth—would be less convincing.</w:t>
      </w:r>
    </w:p>
    <w:p>
      <w:pPr>
        <w:pStyle w:val="BodyText"/>
      </w:pPr>
      <w:r>
        <w:t xml:space="preserve">Given the stock’s roughly</w:t>
      </w:r>
      <w:r>
        <w:t xml:space="preserve"> </w:t>
      </w:r>
      <w:r>
        <w:rPr>
          <w:b/>
          <w:bCs/>
        </w:rPr>
        <w:t xml:space="preserve">26x forward adjusted-earnings multiple</w:t>
      </w:r>
      <w:r>
        <w:t xml:space="preserve">, investors are likely to focus more on the composition of growth and the credibility of the second-half outlook than on a modest Q2 beat alone.</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2026-08-05T01:04:36Z</dcterms:created>
  <dcterms:modified xsi:type="dcterms:W3CDTF">2026-08-05T01:04:36Z</dcterms:modified>
</cp:coreProperties>
</file>

<file path=docProps/custom.xml><?xml version="1.0" encoding="utf-8"?>
<Properties xmlns="http://schemas.openxmlformats.org/officeDocument/2006/custom-properties" xmlns:vt="http://schemas.openxmlformats.org/officeDocument/2006/docPropsVTypes"/>
</file>