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db46102ce0093fba655cefd7ddfe042ded95fa"/>
    <w:p>
      <w:pPr>
        <w:pStyle w:val="Heading1"/>
      </w:pPr>
      <w:r>
        <w:t xml:space="preserve">Motorola Solutions (NYSE: MSI)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Wednesday, August 5, 2026</w:t>
      </w:r>
      <w:r>
        <w:t xml:space="preserve">. The specified</w:t>
      </w:r>
      <w:r>
        <w:t xml:space="preserve"> </w:t>
      </w:r>
      <w:r>
        <w:rPr>
          <w:b/>
          <w:bCs/>
        </w:rPr>
        <w:t xml:space="preserve">2026Q2 Earnings Call is dated August 5, 2026</w:t>
      </w:r>
      <w:r>
        <w:t xml:space="preserve">, so MSI is scheduled to report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Motorola Solutions enters 2Q26 with a favorable demand backdrop, substantial backlog, and a higher full-year outlook—but also with elevated expectations around the contribution from Silvus Technologies and sustained margin execution despite memory-cost and tariff pressures.</w:t>
      </w:r>
    </w:p>
    <w:p>
      <w:pPr>
        <w:pStyle w:val="BodyText"/>
      </w:pPr>
      <w:r>
        <w:t xml:space="preserve">The central question is not simply whether MSI reaches its guided quarter. It is whether the company can reinforce the narrative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Public-safety, video, Command Center, and defense demand remains broad-based;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Silvus is continuing to outperform the acquisition case;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Software &amp; Services can sustain its structurally higher growth and margin profile;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Input-cost pressure is manageable enough to preserve the company’s target of 100 bps of full-year operating-margin expansion.</w:t>
      </w:r>
    </w:p>
    <w:p>
      <w:pPr>
        <w:pStyle w:val="FirstParagraph"/>
      </w:pPr>
      <w:r>
        <w:t xml:space="preserve">Management’s Q1 commentary was notably confident: record orders, record Q1 backlog, four consecutive quarters of double-digit order growth in both segments, and an outlook raise driven by both Silvus and the legacy public-safety business. That establishes a high bar for the August update.</w:t>
      </w:r>
    </w:p>
    <w:p>
      <w:r>
        <w:pict>
          <v:rect style="width:0;height:1.5pt" o:hralign="center" o:hrstd="t" o:hr="t"/>
        </w:pict>
      </w:r>
    </w:p>
    <w:bookmarkEnd w:id="9"/>
    <w:bookmarkStart w:id="10" w:name="what-msi-has-guided-for-2q26"/>
    <w:p>
      <w:pPr>
        <w:pStyle w:val="Heading2"/>
      </w:pPr>
      <w:r>
        <w:t xml:space="preserve">What MSI has guided for 2Q26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YoY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w:r>
              <w:rPr>
                <w:b/>
                <w:bCs/>
              </w:rPr>
              <w:t xml:space="preserve">$3.0B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$2.765B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w:r>
              <w:rPr>
                <w:b/>
                <w:bCs/>
              </w:rPr>
              <w:t xml:space="preserve">8.5%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3.82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w:r>
              <w:rPr>
                <w:b/>
                <w:bCs/>
              </w:rPr>
              <w:t xml:space="preserve">7%–9%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shares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~168M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168.8M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The revenue outlook equates to approximately</w:t>
      </w:r>
      <w:r>
        <w:t xml:space="preserve"> </w:t>
      </w:r>
      <w:r>
        <w:rPr>
          <w:b/>
          <w:bCs/>
        </w:rPr>
        <w:t xml:space="preserve">$3.00 billion</w:t>
      </w:r>
      <w:r>
        <w:t xml:space="preserve">, based on management’s 8.5% growth target. The EPS range implies approximately 7%–9% year-over-year growth against 2Q25’s $3.57 non-GAAP EPS.</w:t>
      </w:r>
    </w:p>
    <w:p>
      <w:pPr>
        <w:pStyle w:val="BodyText"/>
      </w:pPr>
      <w:r>
        <w:t xml:space="preserve">For full-year 2026, MSI last guided to approximately</w:t>
      </w:r>
      <w:r>
        <w:t xml:space="preserve"> </w:t>
      </w:r>
      <m:oMath>
        <m:r>
          <m:t>12.8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16.87–</w:t>
      </w:r>
      <m:oMath>
        <m:r>
          <m:t>16.99</m:t>
        </m:r>
        <m:r>
          <m:t>o</m:t>
        </m:r>
        <m:r>
          <m:t>f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i</m:t>
        </m:r>
        <m:r>
          <m:t>n</m:t>
        </m:r>
        <m:r>
          <m:t>g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 billion of operating cash flow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100 bps of operating-margin expansion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4" w:name="why-the-quarter-matters"/>
    <w:p>
      <w:pPr>
        <w:pStyle w:val="Heading2"/>
      </w:pPr>
      <w:r>
        <w:t xml:space="preserve">Why the quarter matters</w:t>
      </w:r>
    </w:p>
    <w:bookmarkStart w:id="11" w:name="X65b5a75efd8be3c4ec50c36d3f6dce1db61ffcb"/>
    <w:p>
      <w:pPr>
        <w:pStyle w:val="Heading3"/>
      </w:pPr>
      <w:r>
        <w:t xml:space="preserve">1. Silvus is the biggest upside lever—and likely the most scrutinized variable</w:t>
      </w:r>
    </w:p>
    <w:p>
      <w:pPr>
        <w:pStyle w:val="FirstParagraph"/>
      </w:pPr>
      <w:r>
        <w:t xml:space="preserve">At Q1, MSI increased its 2026 Silvus revenue expectation by</w:t>
      </w:r>
      <w:r>
        <w:t xml:space="preserve"> </w:t>
      </w:r>
      <w:r>
        <w:rPr>
          <w:b/>
          <w:bCs/>
        </w:rPr>
        <w:t xml:space="preserve">$75 million to $750 million</w:t>
      </w:r>
      <w:r>
        <w:t xml:space="preserve">. Management characterized demand as exceeding expectations, particularly from international defense customers, and highlighted:</w:t>
      </w:r>
    </w:p>
    <w:p>
      <w:pPr>
        <w:pStyle w:val="Compact"/>
        <w:numPr>
          <w:ilvl w:val="0"/>
          <w:numId w:val="1002"/>
        </w:numPr>
      </w:pPr>
      <w:r>
        <w:t xml:space="preserve">Strong global demand for secure, resilient communications for unmanned systems and defense applications;</w:t>
      </w:r>
    </w:p>
    <w:p>
      <w:pPr>
        <w:pStyle w:val="Compact"/>
        <w:numPr>
          <w:ilvl w:val="0"/>
          <w:numId w:val="1002"/>
        </w:numPr>
      </w:pPr>
      <w:r>
        <w:t xml:space="preserve">A larger go-to-market organization;</w:t>
      </w:r>
    </w:p>
    <w:p>
      <w:pPr>
        <w:pStyle w:val="Compact"/>
        <w:numPr>
          <w:ilvl w:val="0"/>
          <w:numId w:val="1002"/>
        </w:numPr>
      </w:pPr>
      <w:r>
        <w:t xml:space="preserve">Incremental R&amp;D investment;</w:t>
      </w:r>
    </w:p>
    <w:p>
      <w:pPr>
        <w:pStyle w:val="Compact"/>
        <w:numPr>
          <w:ilvl w:val="0"/>
          <w:numId w:val="1002"/>
        </w:numPr>
      </w:pPr>
      <w:r>
        <w:t xml:space="preserve">Capacity expansion, including a future redundant production site expected to add capacity in 2027;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45% EBITDA margins</w:t>
      </w:r>
      <w:r>
        <w:t xml:space="preserve"> </w:t>
      </w:r>
      <w:r>
        <w:t xml:space="preserve">for Silvus, potentially somewhat better at the time of the Q1 call.</w:t>
      </w:r>
    </w:p>
    <w:p>
      <w:pPr>
        <w:pStyle w:val="FirstParagraph"/>
      </w:pPr>
      <w:r>
        <w:t xml:space="preserve">The key read-through from Q2 will be whether MSI again raises—or at least strongly de-risks—the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.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o</m:t>
        </m:r>
        <m:r>
          <m:t>r</m:t>
        </m:r>
        <m:r>
          <m:t>s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f</m:t>
        </m:r>
        <m:r>
          <m:t>o</m:t>
        </m:r>
        <m:r>
          <m:t>c</m:t>
        </m:r>
        <m:r>
          <m:t>u</m:t>
        </m:r>
        <m:r>
          <m:t>s</m:t>
        </m:r>
        <m:r>
          <m:t>o</m:t>
        </m:r>
        <m:r>
          <m:t>n</m:t>
        </m:r>
        <m:r>
          <m:t>o</m:t>
        </m:r>
        <m:r>
          <m:t>r</m:t>
        </m:r>
        <m:r>
          <m:t>d</m:t>
        </m:r>
        <m:r>
          <m:t>e</m:t>
        </m:r>
        <m:r>
          <m:t>r</m:t>
        </m:r>
        <m:r>
          <m:t>a</m:t>
        </m:r>
        <m:r>
          <m:t>c</m:t>
        </m:r>
        <m:r>
          <m:t>t</m:t>
        </m:r>
        <m:r>
          <m:t>i</m:t>
        </m:r>
        <m:r>
          <m:t>v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d</m:t>
        </m:r>
        <m:r>
          <m:t>e</m:t>
        </m:r>
        <m:r>
          <m:t>l</m:t>
        </m:r>
        <m:r>
          <m:t>i</m:t>
        </m:r>
        <m:r>
          <m:t>v</m:t>
        </m:r>
        <m:r>
          <m:t>e</m:t>
        </m:r>
        <m:r>
          <m:t>r</m:t>
        </m:r>
        <m:r>
          <m:t>y</m:t>
        </m:r>
        <m:r>
          <m:t>c</m:t>
        </m:r>
        <m:r>
          <m:t>a</m:t>
        </m:r>
        <m:r>
          <m:t>d</m:t>
        </m:r>
        <m:r>
          <m:t>e</m:t>
        </m:r>
        <m:r>
          <m:t>n</m:t>
        </m:r>
        <m:r>
          <m:t>c</m:t>
        </m:r>
        <m:r>
          <m:t>e</m:t>
        </m:r>
        <m:r>
          <m:rPr>
            <m:sty m:val="p"/>
          </m:rPr>
          <m:t>,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t>m</m:t>
        </m:r>
        <m:r>
          <m:t>i</m:t>
        </m:r>
        <m:r>
          <m:t>x</m:t>
        </m:r>
        <m:r>
          <m:rPr>
            <m:sty m:val="p"/>
          </m:rPr>
          <m:t>,</m:t>
        </m:r>
        <m:r>
          <m:t>m</m:t>
        </m:r>
        <m:r>
          <m:t>a</m:t>
        </m:r>
        <m:r>
          <m:t>n</m:t>
        </m:r>
        <m:r>
          <m:t>u</m:t>
        </m:r>
        <m:r>
          <m:t>f</m:t>
        </m:r>
        <m:r>
          <m:t>a</m:t>
        </m:r>
        <m:r>
          <m:t>c</m:t>
        </m:r>
        <m:r>
          <m:t>t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p</m:t>
        </m:r>
        <m:r>
          <m:t>a</m:t>
        </m:r>
        <m:r>
          <m:t>c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y</m:t>
        </m:r>
        <m:r>
          <m:t>u</m:t>
        </m:r>
        <m:r>
          <m:t>p</m:t>
        </m:r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n</m:t>
        </m:r>
        <m:r>
          <m:t>t</m:t>
        </m:r>
        <m:r>
          <m:t>e</m:t>
        </m:r>
        <m:r>
          <m:t>a</m:t>
        </m:r>
        <m:r>
          <m:t>r</m:t>
        </m:r>
        <m:r>
          <m:t>n</m:t>
        </m:r>
        <m:r>
          <m:t>o</m:t>
        </m:r>
        <m:r>
          <m:t>u</m:t>
        </m:r>
        <m:r>
          <m:t>t</m:t>
        </m:r>
        <m:r>
          <m:rPr>
            <m:sty m:val="p"/>
          </m:rPr>
          <m:t>.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e</m:t>
        </m:r>
        <m:r>
          <m:t>r</m:t>
        </m:r>
        <m:r>
          <m:rPr>
            <m:sty m:val="p"/>
          </m:rPr>
          <m:t>−</m:t>
        </m:r>
        <m:r>
          <m:t>t</m:t>
        </m:r>
        <m:r>
          <m:t>h</m:t>
        </m:r>
        <m:r>
          <m:t>a</m:t>
        </m:r>
        <m:r>
          <m:t>n</m:t>
        </m:r>
        <m:r>
          <m:rPr>
            <m:sty m:val="p"/>
          </m:rPr>
          <m:t>−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S</m:t>
        </m:r>
        <m:r>
          <m:t>i</m:t>
        </m:r>
        <m:r>
          <m:t>l</m:t>
        </m:r>
        <m:r>
          <m:t>v</m:t>
        </m:r>
        <m:r>
          <m:t>u</m:t>
        </m:r>
        <m:r>
          <m:t>s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75 million non-cash earnout adjustment**, which depressed GAAP earnings but reflected improved business expectations.</w:t>
      </w:r>
    </w:p>
    <w:p>
      <w:pPr>
        <w:pStyle w:val="BodyText"/>
      </w:pPr>
      <w:r>
        <w:rPr>
          <w:b/>
          <w:bCs/>
        </w:rPr>
        <w:t xml:space="preserve">Bullish signal:</w:t>
      </w:r>
      <w:r>
        <w:t xml:space="preserve"> </w:t>
      </w:r>
      <w:r>
        <w:t xml:space="preserve">another Silvus outlook increase, robust defense order commentary, or evidence that capacity is not constraining demand.</w:t>
      </w:r>
      <w:r>
        <w:br/>
      </w:r>
      <w:r>
        <w:rPr>
          <w:b/>
          <w:bCs/>
        </w:rPr>
        <w:t xml:space="preserve">Potential concern:</w:t>
      </w:r>
      <w:r>
        <w:t xml:space="preserve"> </w:t>
      </w:r>
      <w:r>
        <w:t xml:space="preserve">management highlighting project timing, lumpiness, export/fulfillment constraints, or a lack of incremental visibility beyond the existing guide.</w:t>
      </w:r>
    </w:p>
    <w:p>
      <w:r>
        <w:pict>
          <v:rect style="width:0;height:1.5pt" o:hralign="center" o:hrstd="t" o:hr="t"/>
        </w:pict>
      </w:r>
    </w:p>
    <w:bookmarkEnd w:id="11"/>
    <w:bookmarkStart w:id="12" w:name="Xe631b5b7cb64c57127f0e8d14bde8e5fe5b65ee"/>
    <w:p>
      <w:pPr>
        <w:pStyle w:val="Heading3"/>
      </w:pPr>
      <w:r>
        <w:t xml:space="preserve">2. Software &amp; Services needs to remain the quality-growth engine</w:t>
      </w:r>
    </w:p>
    <w:p>
      <w:pPr>
        <w:pStyle w:val="FirstParagraph"/>
      </w:pPr>
      <w:r>
        <w:t xml:space="preserve">Software &amp; Services grew</w:t>
      </w:r>
      <w:r>
        <w:t xml:space="preserve"> </w:t>
      </w:r>
      <w:r>
        <w:rPr>
          <w:b/>
          <w:bCs/>
        </w:rPr>
        <w:t xml:space="preserve">18% in Q1</w:t>
      </w:r>
      <w:r>
        <w:t xml:space="preserve">, with non-GAAP operating margin expanding to</w:t>
      </w:r>
      <w:r>
        <w:t xml:space="preserve"> </w:t>
      </w:r>
      <w:r>
        <w:rPr>
          <w:b/>
          <w:bCs/>
        </w:rPr>
        <w:t xml:space="preserve">34.2%</w:t>
      </w:r>
      <w:r>
        <w:t xml:space="preserve"> </w:t>
      </w:r>
      <w:r>
        <w:t xml:space="preserve">from 28.7% a year earlier. Growth was broad-based across Mission Critical Networks, Video, and Command Center.</w:t>
      </w:r>
    </w:p>
    <w:p>
      <w:pPr>
        <w:pStyle w:val="BodyText"/>
      </w:pPr>
      <w:r>
        <w:t xml:space="preserve">The Q1 result included several factors that may not repeat at the same level in Q2, including major Command Center activations and Tier 1 city implementations. Accordingly, the key issue is less whether Software &amp; Services again grows at 18%, and more whether growth stays convincingly above the corporate rate while maintaining the segment’s margin advantage.</w:t>
      </w:r>
    </w:p>
    <w:p>
      <w:pPr>
        <w:pStyle w:val="BodyText"/>
      </w:pPr>
      <w:r>
        <w:t xml:space="preserve">Areas to monitor: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Command Center:</w:t>
      </w:r>
      <w:r>
        <w:t xml:space="preserve"> </w:t>
      </w:r>
      <w:r>
        <w:t xml:space="preserve">adoption of next-generation 911, CAD, records-management, and AI-enabled workflows;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Video:</w:t>
      </w:r>
      <w:r>
        <w:t xml:space="preserve"> </w:t>
      </w:r>
      <w:r>
        <w:t xml:space="preserve">continued traction in body-worn cameras, fixed video, automated license-plate recognition, Unity, and the cloud-based Alta platform;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AI monetization:</w:t>
      </w:r>
      <w:r>
        <w:t xml:space="preserve"> </w:t>
      </w:r>
      <w:r>
        <w:t xml:space="preserve">attach rates for Assist products, including dispatcher, responder, narrative, and evidence-management workflows;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Recurring revenue durability:</w:t>
      </w:r>
      <w:r>
        <w:t xml:space="preserve"> </w:t>
      </w:r>
      <w:r>
        <w:t xml:space="preserve">MSI considers Software &amp; Services its practical proxy for recurring revenue, making this segment central to the long-term valuation case.</w:t>
      </w:r>
    </w:p>
    <w:p>
      <w:pPr>
        <w:pStyle w:val="FirstParagraph"/>
      </w:pPr>
      <w:r>
        <w:t xml:space="preserve">MSI also faces a more active competitive backdrop in public-safety software and video. Management’s position is that its integrated portfolio—911, CAD, consoles, radio networks, video, evidence, cloud, hybrid deployment, and AI—creates a differentiated offering. Q2 bookings and customer wins are the most tangible way to validate that claim.</w:t>
      </w:r>
    </w:p>
    <w:p>
      <w:r>
        <w:pict>
          <v:rect style="width:0;height:1.5pt" o:hralign="center" o:hrstd="t" o:hr="t"/>
        </w:pict>
      </w:r>
    </w:p>
    <w:bookmarkEnd w:id="12"/>
    <w:bookmarkStart w:id="13" w:name="Xfafae38f92879f5b69cff24e47c96e9fa006fb8"/>
    <w:p>
      <w:pPr>
        <w:pStyle w:val="Heading3"/>
      </w:pPr>
      <w:r>
        <w:t xml:space="preserve">3. Products &amp; Systems Integration must show the expected second-half setup</w:t>
      </w:r>
    </w:p>
    <w:p>
      <w:pPr>
        <w:pStyle w:val="FirstParagraph"/>
      </w:pPr>
      <w:r>
        <w:t xml:space="preserve">Products &amp; Systems Integration grew only</w:t>
      </w:r>
      <w:r>
        <w:t xml:space="preserve"> </w:t>
      </w:r>
      <w:r>
        <w:rPr>
          <w:b/>
          <w:bCs/>
        </w:rPr>
        <w:t xml:space="preserve">1% in Q1</w:t>
      </w:r>
      <w:r>
        <w:t xml:space="preserve">, despite acquired revenue and favorable FX. Segment non-GAAP margin fell to</w:t>
      </w:r>
      <w:r>
        <w:t xml:space="preserve"> </w:t>
      </w:r>
      <w:r>
        <w:rPr>
          <w:b/>
          <w:bCs/>
        </w:rPr>
        <w:t xml:space="preserve">24.8%</w:t>
      </w:r>
      <w:r>
        <w:t xml:space="preserve">, largely reflecting mix and higher supply-chain costs.</w:t>
      </w:r>
    </w:p>
    <w:p>
      <w:pPr>
        <w:pStyle w:val="BodyText"/>
      </w:pPr>
      <w:r>
        <w:t xml:space="preserve">Management had anticipated this slower early-year cadence, attributing it in part to difficult comparisons in Land Mobile Radio (LMR) after the normalization of semiconductor availability and elevated prior-year shipment levels. It expected more robust growth in the back half of 2026, supported by public-safety demand, video, federal activity, and Silvus.</w:t>
      </w:r>
    </w:p>
    <w:p>
      <w:pPr>
        <w:pStyle w:val="BodyText"/>
      </w:pPr>
      <w:r>
        <w:t xml:space="preserve">Therefore, investors should assess whether Q2 provides the bridge to that expected acceleration:</w:t>
      </w:r>
    </w:p>
    <w:p>
      <w:pPr>
        <w:pStyle w:val="Compact"/>
        <w:numPr>
          <w:ilvl w:val="0"/>
          <w:numId w:val="1004"/>
        </w:numPr>
      </w:pPr>
      <w:r>
        <w:t xml:space="preserve">Is underlying</w:t>
      </w:r>
      <w:r>
        <w:t xml:space="preserve"> </w:t>
      </w:r>
      <w:r>
        <w:rPr>
          <w:b/>
          <w:bCs/>
        </w:rPr>
        <w:t xml:space="preserve">LMR demand</w:t>
      </w:r>
      <w:r>
        <w:t xml:space="preserve"> </w:t>
      </w:r>
      <w:r>
        <w:t xml:space="preserve">converting into revenue as planned?</w:t>
      </w:r>
    </w:p>
    <w:p>
      <w:pPr>
        <w:pStyle w:val="Compact"/>
        <w:numPr>
          <w:ilvl w:val="0"/>
          <w:numId w:val="1004"/>
        </w:numPr>
      </w:pPr>
      <w:r>
        <w:t xml:space="preserve">Do</w:t>
      </w:r>
      <w:r>
        <w:t xml:space="preserve"> </w:t>
      </w:r>
      <w:r>
        <w:rPr>
          <w:b/>
          <w:bCs/>
        </w:rPr>
        <w:t xml:space="preserve">product orders</w:t>
      </w:r>
      <w:r>
        <w:t xml:space="preserve"> </w:t>
      </w:r>
      <w:r>
        <w:t xml:space="preserve">remain double-digit?</w:t>
      </w:r>
    </w:p>
    <w:p>
      <w:pPr>
        <w:pStyle w:val="Compact"/>
        <w:numPr>
          <w:ilvl w:val="0"/>
          <w:numId w:val="1004"/>
        </w:numPr>
      </w:pPr>
      <w:r>
        <w:t xml:space="preserve">Is product backlog continuing to build or at least holding at elevated levels?</w:t>
      </w:r>
    </w:p>
    <w:p>
      <w:pPr>
        <w:pStyle w:val="Compact"/>
        <w:numPr>
          <w:ilvl w:val="0"/>
          <w:numId w:val="1004"/>
        </w:numPr>
      </w:pPr>
      <w:r>
        <w:t xml:space="preserve">Are</w:t>
      </w:r>
      <w:r>
        <w:t xml:space="preserve"> </w:t>
      </w:r>
      <w:r>
        <w:rPr>
          <w:b/>
          <w:bCs/>
        </w:rPr>
        <w:t xml:space="preserve">video and SVX body-worn assistant</w:t>
      </w:r>
      <w:r>
        <w:t xml:space="preserve"> </w:t>
      </w:r>
      <w:r>
        <w:t xml:space="preserve">deployments broadening beyond early customers?</w:t>
      </w:r>
    </w:p>
    <w:p>
      <w:pPr>
        <w:pStyle w:val="Compact"/>
        <w:numPr>
          <w:ilvl w:val="0"/>
          <w:numId w:val="1004"/>
        </w:numPr>
      </w:pPr>
      <w:r>
        <w:t xml:space="preserve">Does management still expect stronger second-half Mission Critical Networks and LMR growth?</w:t>
      </w:r>
    </w:p>
    <w:p>
      <w:pPr>
        <w:pStyle w:val="FirstParagraph"/>
      </w:pPr>
      <w:r>
        <w:t xml:space="preserve">A quarter that meets guidance but features weaker product bookings or softer commentary on the second half would likely matter more than a modest EPS variance.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54bd172f13b9021dd4b515db14ac35a674ee8ec"/>
    <w:p>
      <w:pPr>
        <w:pStyle w:val="Heading2"/>
      </w:pPr>
      <w:r>
        <w:t xml:space="preserve">Backlog and orders: the foundation of the 2026 case</w:t>
      </w:r>
    </w:p>
    <w:p>
      <w:pPr>
        <w:pStyle w:val="FirstParagraph"/>
      </w:pPr>
      <w:r>
        <w:t xml:space="preserve">MSI exited Q1 with a record</w:t>
      </w:r>
      <w:r>
        <w:t xml:space="preserve"> </w:t>
      </w:r>
      <w:r>
        <w:rPr>
          <w:b/>
          <w:bCs/>
        </w:rPr>
        <w:t xml:space="preserve">$15.7 billion backlog</w:t>
      </w:r>
      <w:r>
        <w:t xml:space="preserve">, up</w:t>
      </w:r>
      <w:r>
        <w:t xml:space="preserve"> </w:t>
      </w:r>
      <w:r>
        <w:rPr>
          <w:b/>
          <w:bCs/>
        </w:rPr>
        <w:t xml:space="preserve">11% year over year</w:t>
      </w:r>
      <w:r>
        <w:t xml:space="preserve">, driven by record Q1 orders. Products &amp; Systems Integration backlog was up 7% year over year, while Software &amp; Services backlog was up 13%.</w:t>
      </w:r>
    </w:p>
    <w:p>
      <w:pPr>
        <w:pStyle w:val="BodyText"/>
      </w:pPr>
      <w:r>
        <w:t xml:space="preserve">This matters because MSI’s public-safety and government-oriented business has long sales cycles and substantial customer-budget visibility. Management emphasized that the backlog duration and expected shipment timing were not materially different from the prior year, suggesting that the larger backlog was not simply a function of longer contract duration.</w:t>
      </w:r>
    </w:p>
    <w:p>
      <w:pPr>
        <w:pStyle w:val="BodyText"/>
      </w:pPr>
      <w:r>
        <w:t xml:space="preserve">For Q2, the most important booking metrics are: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Total order growth</w:t>
      </w:r>
      <w:r>
        <w:t xml:space="preserve"> </w:t>
      </w:r>
      <w:r>
        <w:t xml:space="preserve">versus the double-digit trend management cited in Q1;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Product-order momentum</w:t>
      </w:r>
      <w:r>
        <w:t xml:space="preserve">, particularly LMR, Video, and Silvus;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Software &amp; Services bookings</w:t>
      </w:r>
      <w:r>
        <w:t xml:space="preserve">, especially multi-year contracts;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Sequential backlog movement</w:t>
      </w:r>
      <w:r>
        <w:t xml:space="preserve">, adjusted for revenue recognition on large programs.</w:t>
      </w:r>
    </w:p>
    <w:p>
      <w:pPr>
        <w:pStyle w:val="FirstParagraph"/>
      </w:pPr>
      <w:r>
        <w:t xml:space="preserve">A continuation of record-order commentary would materially strengthen confidence in the raised full-year guide.</w:t>
      </w:r>
    </w:p>
    <w:p>
      <w:r>
        <w:pict>
          <v:rect style="width:0;height:1.5pt" o:hralign="center" o:hrstd="t" o:hr="t"/>
        </w:pict>
      </w:r>
    </w:p>
    <w:bookmarkEnd w:id="15"/>
    <w:bookmarkStart w:id="18" w:name="margin-and-cash-flow-watch-items"/>
    <w:p>
      <w:pPr>
        <w:pStyle w:val="Heading2"/>
      </w:pPr>
      <w:r>
        <w:t xml:space="preserve">Margin and cash-flow watch items</w:t>
      </w:r>
    </w:p>
    <w:bookmarkStart w:id="16" w:name="Xfcdb12de34100e7d923486cf5c2ece6061579fb"/>
    <w:p>
      <w:pPr>
        <w:pStyle w:val="Heading3"/>
      </w:pPr>
      <w:r>
        <w:t xml:space="preserve">Margin: can MSI offset memory and tariff costs?</w:t>
      </w:r>
    </w:p>
    <w:p>
      <w:pPr>
        <w:pStyle w:val="FirstParagraph"/>
      </w:pPr>
      <w:r>
        <w:t xml:space="preserve">MSI continues to target</w:t>
      </w:r>
      <w:r>
        <w:t xml:space="preserve"> </w:t>
      </w:r>
      <w:r>
        <w:rPr>
          <w:b/>
          <w:bCs/>
        </w:rPr>
        <w:t xml:space="preserve">100 bps of full-year operating-margin expansion</w:t>
      </w:r>
      <w:r>
        <w:t xml:space="preserve">, including improvement in both segments. This is notable because management expects: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$60 million of tariff headwinds</w:t>
      </w:r>
      <w:r>
        <w:t xml:space="preserve"> </w:t>
      </w:r>
      <w:r>
        <w:t xml:space="preserve">in 2026, concentrated primarily in the first half;</w:t>
      </w:r>
    </w:p>
    <w:p>
      <w:pPr>
        <w:pStyle w:val="Compact"/>
        <w:numPr>
          <w:ilvl w:val="0"/>
          <w:numId w:val="1006"/>
        </w:numPr>
      </w:pPr>
      <w:r>
        <w:t xml:space="preserve">Direct memory costs to rise to</w:t>
      </w:r>
      <w:r>
        <w:t xml:space="preserve"> </w:t>
      </w:r>
      <w:r>
        <w:rPr>
          <w:b/>
          <w:bCs/>
        </w:rPr>
        <w:t xml:space="preserve">more than double</w:t>
      </w:r>
      <w:r>
        <w:t xml:space="preserve"> </w:t>
      </w:r>
      <w:r>
        <w:t xml:space="preserve">the roughly $50 million level incurred in 2025;</w:t>
      </w:r>
    </w:p>
    <w:p>
      <w:pPr>
        <w:pStyle w:val="Compact"/>
        <w:numPr>
          <w:ilvl w:val="0"/>
          <w:numId w:val="1006"/>
        </w:numPr>
      </w:pPr>
      <w:r>
        <w:t xml:space="preserve">Ongoing supply-chain volatility.</w:t>
      </w:r>
    </w:p>
    <w:p>
      <w:pPr>
        <w:pStyle w:val="FirstParagraph"/>
      </w:pPr>
      <w:r>
        <w:t xml:space="preserve">The company’s mitigation plan includes inventory actions, supplier partnerships, and selective price adjustments. Q2 is important because it is likely to reflect much of the first-half tariff burden. A maintained margin-expansion target would be constructive; an increase would be a meaningful positive surprise.</w:t>
      </w:r>
    </w:p>
    <w:bookmarkEnd w:id="16"/>
    <w:bookmarkStart w:id="17" w:name="Xf7eabd81b5b1d522ac054c7dc130258a3452f7d"/>
    <w:p>
      <w:pPr>
        <w:pStyle w:val="Heading3"/>
      </w:pPr>
      <w:r>
        <w:t xml:space="preserve">Cash flow: inventory and financing costs are the near-term headwinds</w:t>
      </w:r>
    </w:p>
    <w:p>
      <w:pPr>
        <w:pStyle w:val="FirstParagraph"/>
      </w:pPr>
      <w:r>
        <w:t xml:space="preserve">Q1 operating cash flow was</w:t>
      </w:r>
      <w:r>
        <w:t xml:space="preserve"> </w:t>
      </w:r>
      <m:oMath>
        <m:r>
          <m:t>451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389 million</w:t>
      </w:r>
      <w:r>
        <w:t xml:space="preserve">, both below the prior year due to inventory investment and higher interest and tax payments. The Silvus acquisition also increased the debt burden: MSI had</w:t>
      </w:r>
      <w:r>
        <w:t xml:space="preserve"> </w:t>
      </w:r>
      <w:r>
        <w:rPr>
          <w:b/>
          <w:bCs/>
        </w:rPr>
        <w:t xml:space="preserve">$1.3 billion</w:t>
      </w:r>
      <w:r>
        <w:t xml:space="preserve"> </w:t>
      </w:r>
      <w:r>
        <w:t xml:space="preserve">remaining on its Silvus-related term loans after a $200 million repayment in Q1, while net interest expense rose sharply year over year.</w:t>
      </w:r>
    </w:p>
    <w:p>
      <w:pPr>
        <w:pStyle w:val="BodyText"/>
      </w:pPr>
      <w:r>
        <w:t xml:space="preserve">The quarterly cash-flow pattern is not likely to define the investment debate, but investors should watch for:</w:t>
      </w:r>
    </w:p>
    <w:p>
      <w:pPr>
        <w:pStyle w:val="Compact"/>
        <w:numPr>
          <w:ilvl w:val="0"/>
          <w:numId w:val="1007"/>
        </w:numPr>
      </w:pPr>
      <w:r>
        <w:t xml:space="preserve">Better working-capital conversion after Q1 inventory investment;</w:t>
      </w:r>
    </w:p>
    <w:p>
      <w:pPr>
        <w:pStyle w:val="Compact"/>
        <w:numPr>
          <w:ilvl w:val="0"/>
          <w:numId w:val="1007"/>
        </w:numPr>
      </w:pPr>
      <w:r>
        <w:t xml:space="preserve">Progress toward the ~$3 billion operating-cash-flow target;</w:t>
      </w:r>
    </w:p>
    <w:p>
      <w:pPr>
        <w:pStyle w:val="Compact"/>
        <w:numPr>
          <w:ilvl w:val="0"/>
          <w:numId w:val="1007"/>
        </w:numPr>
      </w:pPr>
      <w:r>
        <w:t xml:space="preserve">Further debt reduction;</w:t>
      </w:r>
    </w:p>
    <w:p>
      <w:pPr>
        <w:pStyle w:val="Compact"/>
        <w:numPr>
          <w:ilvl w:val="0"/>
          <w:numId w:val="1007"/>
        </w:numPr>
      </w:pPr>
      <w:r>
        <w:t xml:space="preserve">The balance among dividends, buybacks, and acquisitions.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ma-and-capital-allocation"/>
    <w:p>
      <w:pPr>
        <w:pStyle w:val="Heading2"/>
      </w:pPr>
      <w:r>
        <w:t xml:space="preserve">M&amp;A and capital allocation</w:t>
      </w:r>
    </w:p>
    <w:p>
      <w:pPr>
        <w:pStyle w:val="FirstParagraph"/>
      </w:pPr>
      <w:r>
        <w:t xml:space="preserve">MSI acquired Exacom and Hyper in Q1 for a combined</w:t>
      </w:r>
      <w:r>
        <w:t xml:space="preserve"> </w:t>
      </w:r>
      <m:oMath>
        <m:r>
          <m:t>90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e</m:t>
        </m:r>
        <m:r>
          <m:t>x</m:t>
        </m:r>
        <m:r>
          <m:t>p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i</m:t>
        </m:r>
        <m:r>
          <m:t>t</m:t>
        </m:r>
        <m:r>
          <m:t>s</m:t>
        </m:r>
        <m:r>
          <m:t>c</m:t>
        </m:r>
        <m:r>
          <m:t>a</m:t>
        </m:r>
        <m:r>
          <m:t>p</m:t>
        </m:r>
        <m:r>
          <m:t>a</m:t>
        </m:r>
        <m:r>
          <m:t>b</m:t>
        </m:r>
        <m:r>
          <m:t>i</m:t>
        </m:r>
        <m:r>
          <m:t>l</m:t>
        </m:r>
        <m:r>
          <m:t>i</m:t>
        </m:r>
        <m:r>
          <m:t>t</m:t>
        </m:r>
        <m:r>
          <m:t>i</m:t>
        </m:r>
        <m:r>
          <m:t>e</m:t>
        </m:r>
        <m:r>
          <m:t>s</m:t>
        </m:r>
        <m:r>
          <m:t>i</m:t>
        </m:r>
        <m:r>
          <m:t>n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rPr>
            <m:sty m:val="p"/>
          </m:rPr>
          <m:t>−</m:t>
        </m:r>
        <m:r>
          <m:t>c</m:t>
        </m:r>
        <m:r>
          <m:t>r</m:t>
        </m:r>
        <m:r>
          <m:t>i</m:t>
        </m:r>
        <m:r>
          <m:t>t</m:t>
        </m:r>
        <m:r>
          <m:t>i</m:t>
        </m:r>
        <m:r>
          <m:t>c</m:t>
        </m:r>
        <m:r>
          <m:t>a</m:t>
        </m:r>
        <m:r>
          <m:t>l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/</m:t>
        </m:r>
        <m:r>
          <m:t>l</m:t>
        </m:r>
        <m:r>
          <m:t>o</m:t>
        </m:r>
        <m:r>
          <m:t>g</m:t>
        </m:r>
        <m:r>
          <m:t>g</m:t>
        </m:r>
        <m:r>
          <m:t>i</m:t>
        </m:r>
        <m:r>
          <m:t>n</m:t>
        </m:r>
        <m:r>
          <m:t>g</m:t>
        </m:r>
        <m:r>
          <m:t>a</m:t>
        </m:r>
        <m:r>
          <m:t>n</m:t>
        </m:r>
        <m:r>
          <m:t>d</m:t>
        </m:r>
        <m:r>
          <m:t>A</m:t>
        </m:r>
        <m:r>
          <m:t>I</m:t>
        </m:r>
        <m:r>
          <m:rPr>
            <m:sty m:val="p"/>
          </m:rPr>
          <m:t>−</m:t>
        </m:r>
        <m:r>
          <m:t>a</m:t>
        </m:r>
        <m:r>
          <m:t>s</m:t>
        </m:r>
        <m:r>
          <m:t>s</m:t>
        </m:r>
        <m:r>
          <m:t>i</m:t>
        </m:r>
        <m:r>
          <m:t>s</m:t>
        </m:r>
        <m:r>
          <m:t>t</m:t>
        </m:r>
        <m:r>
          <m:t>e</m:t>
        </m:r>
        <m:r>
          <m:t>d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e</m:t>
        </m:r>
        <m:r>
          <m:t>m</m:t>
        </m:r>
        <m:r>
          <m:t>e</m:t>
        </m:r>
        <m:r>
          <m:t>r</m:t>
        </m:r>
        <m:r>
          <m:t>g</m:t>
        </m:r>
        <m:r>
          <m:t>e</m:t>
        </m:r>
        <m:r>
          <m:t>n</m:t>
        </m:r>
        <m:r>
          <m:t>c</m:t>
        </m:r>
        <m:r>
          <m:t>y</m:t>
        </m:r>
        <m:r>
          <m:t>c</m:t>
        </m:r>
        <m:r>
          <m:t>a</m:t>
        </m:r>
        <m:r>
          <m:t>l</m:t>
        </m:r>
        <m:r>
          <m:t>l</m:t>
        </m:r>
        <m:r>
          <m:t>h</m:t>
        </m:r>
        <m:r>
          <m:t>a</m:t>
        </m:r>
        <m:r>
          <m:t>n</m:t>
        </m:r>
        <m:r>
          <m:t>d</m:t>
        </m:r>
        <m:r>
          <m:t>l</m:t>
        </m:r>
        <m:r>
          <m:t>i</m:t>
        </m:r>
        <m:r>
          <m:t>n</m:t>
        </m:r>
        <m:r>
          <m:t>g</m:t>
        </m:r>
        <m:r>
          <m:rPr>
            <m:sty m:val="p"/>
          </m:rPr>
          <m:t>.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o</m:t>
        </m:r>
        <m:r>
          <m:t>a</m:t>
        </m:r>
        <m:r>
          <m:t>g</m:t>
        </m:r>
        <m:r>
          <m:t>r</m:t>
        </m:r>
        <m:r>
          <m:t>e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B</m:t>
        </m:r>
        <m:r>
          <m:t>e</m:t>
        </m:r>
        <m:r>
          <m:t>l</m:t>
        </m:r>
        <m:r>
          <m:t>l</m:t>
        </m:r>
        <m:r>
          <m:t>C</m:t>
        </m:r>
        <m:r>
          <m:t>a</m:t>
        </m:r>
        <m:r>
          <m:t>n</m:t>
        </m:r>
        <m:r>
          <m:t>a</m:t>
        </m:r>
        <m:r>
          <m:t>d</m:t>
        </m:r>
        <m:r>
          <m:t>a</m:t>
        </m:r>
        <m:r>
          <m:rPr>
            <m:sty m:val="p"/>
          </m:rPr>
          <m:t>’</m:t>
        </m:r>
        <m:r>
          <m:t>s</m:t>
        </m:r>
        <m:r>
          <m:t>L</m:t>
        </m:r>
        <m:r>
          <m:t>M</m:t>
        </m:r>
        <m:r>
          <m:t>R</m:t>
        </m:r>
        <m:r>
          <m:t>n</m:t>
        </m:r>
        <m:r>
          <m:t>e</m:t>
        </m:r>
        <m:r>
          <m:t>t</m:t>
        </m:r>
        <m:r>
          <m:t>w</m:t>
        </m:r>
        <m:r>
          <m:t>o</m:t>
        </m:r>
        <m:r>
          <m:t>r</m:t>
        </m:r>
        <m:r>
          <m:t>k</m:t>
        </m:r>
        <m:r>
          <m:rPr>
            <m:sty m:val="p"/>
          </m:rPr>
          <m:t>−</m:t>
        </m:r>
        <m:r>
          <m:t>s</m:t>
        </m:r>
        <m:r>
          <m:t>e</m:t>
        </m:r>
        <m:r>
          <m:t>r</m:t>
        </m:r>
        <m:r>
          <m:t>v</m:t>
        </m:r>
        <m:r>
          <m:t>i</m:t>
        </m:r>
        <m:r>
          <m:t>c</m:t>
        </m:r>
        <m:r>
          <m:t>e</m:t>
        </m:r>
        <m:r>
          <m:t>s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t>f</m:t>
        </m:r>
        <m:r>
          <m:t>o</m:t>
        </m:r>
        <m:r>
          <m:t>r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500 million</w:t>
      </w:r>
      <w:r>
        <w:t xml:space="preserve">, expected to close in 4Q26.</w:t>
      </w:r>
    </w:p>
    <w:p>
      <w:pPr>
        <w:pStyle w:val="BodyText"/>
      </w:pPr>
      <w:r>
        <w:t xml:space="preserve">The Bell transaction is expected to add approximately</w:t>
      </w:r>
      <w:r>
        <w:t xml:space="preserve"> </w:t>
      </w:r>
      <w:r>
        <w:rPr>
          <w:b/>
          <w:bCs/>
        </w:rPr>
        <w:t xml:space="preserve">$100 million of recurring managed-services revenue</w:t>
      </w:r>
      <w:r>
        <w:t xml:space="preserve"> </w:t>
      </w:r>
      <w:r>
        <w:t xml:space="preserve">once closed. It should not be a material 2Q26 revenue driver, but management commentary on integration opportunities—network upgrades, device refreshes, applications, and cross-selling—will help frame the longer-term contribution.</w:t>
      </w:r>
    </w:p>
    <w:p>
      <w:pPr>
        <w:pStyle w:val="BodyText"/>
      </w:pPr>
      <w:r>
        <w:t xml:space="preserve">The broader takeaway is that MSI remains willing to deploy capital toward adjacent recurring-revenue and public-safety assets while retaining capacity for dividends and buybacks.</w:t>
      </w:r>
    </w:p>
    <w:p>
      <w:r>
        <w:pict>
          <v:rect style="width:0;height:1.5pt" o:hralign="center" o:hrstd="t" o:hr="t"/>
        </w:pict>
      </w:r>
    </w:p>
    <w:bookmarkEnd w:id="19"/>
    <w:bookmarkStart w:id="20" w:name="what-would-make-this-a-strong-report"/>
    <w:p>
      <w:pPr>
        <w:pStyle w:val="Heading2"/>
      </w:pPr>
      <w:r>
        <w:t xml:space="preserve">What would make this a strong report?</w:t>
      </w:r>
    </w:p>
    <w:p>
      <w:pPr>
        <w:pStyle w:val="FirstParagraph"/>
      </w:pPr>
      <w:r>
        <w:t xml:space="preserve">A constructive result would likely include:</w:t>
      </w:r>
    </w:p>
    <w:p>
      <w:pPr>
        <w:pStyle w:val="Compact"/>
        <w:numPr>
          <w:ilvl w:val="0"/>
          <w:numId w:val="1008"/>
        </w:numPr>
      </w:pPr>
      <w:r>
        <w:t xml:space="preserve">Revenue and non-GAAP EPS at or above the high end of guidance;</w:t>
      </w:r>
    </w:p>
    <w:p>
      <w:pPr>
        <w:pStyle w:val="Compact"/>
        <w:numPr>
          <w:ilvl w:val="0"/>
          <w:numId w:val="1008"/>
        </w:numPr>
      </w:pPr>
      <w:r>
        <w:t xml:space="preserve">Continued double-digit order growth;</w:t>
      </w:r>
    </w:p>
    <w:p>
      <w:pPr>
        <w:pStyle w:val="Compact"/>
        <w:numPr>
          <w:ilvl w:val="0"/>
          <w:numId w:val="1008"/>
        </w:numPr>
      </w:pPr>
      <w:r>
        <w:t xml:space="preserve">Another strong backlog datapoint;</w:t>
      </w:r>
    </w:p>
    <w:p>
      <w:pPr>
        <w:pStyle w:val="Compact"/>
        <w:numPr>
          <w:ilvl w:val="0"/>
          <w:numId w:val="1008"/>
        </w:numPr>
      </w:pPr>
      <w:r>
        <w:t xml:space="preserve">Confirmation or an increase to the</w:t>
      </w:r>
      <w:r>
        <w:t xml:space="preserve"> </w:t>
      </w:r>
      <w:r>
        <w:rPr>
          <w:b/>
          <w:bCs/>
        </w:rPr>
        <w:t xml:space="preserve">$750 million Silvus</w:t>
      </w:r>
      <w:r>
        <w:t xml:space="preserve"> </w:t>
      </w:r>
      <w:r>
        <w:t xml:space="preserve">revenue target;</w:t>
      </w:r>
    </w:p>
    <w:p>
      <w:pPr>
        <w:pStyle w:val="Compact"/>
        <w:numPr>
          <w:ilvl w:val="0"/>
          <w:numId w:val="1008"/>
        </w:numPr>
      </w:pPr>
      <w:r>
        <w:t xml:space="preserve">Software &amp; Services growth that remains clearly above the corporate rate;</w:t>
      </w:r>
    </w:p>
    <w:p>
      <w:pPr>
        <w:pStyle w:val="Compact"/>
        <w:numPr>
          <w:ilvl w:val="0"/>
          <w:numId w:val="1008"/>
        </w:numPr>
      </w:pPr>
      <w:r>
        <w:t xml:space="preserve">Maintained or improved full-year margin-expansion expectations despite memory and tariff costs;</w:t>
      </w:r>
    </w:p>
    <w:p>
      <w:pPr>
        <w:pStyle w:val="Compact"/>
        <w:numPr>
          <w:ilvl w:val="0"/>
          <w:numId w:val="1008"/>
        </w:numPr>
      </w:pPr>
      <w:r>
        <w:t xml:space="preserve">Reaffirmed or raised full-year revenue, EPS, and operating-cash-flow guidance.</w:t>
      </w:r>
    </w:p>
    <w:bookmarkEnd w:id="20"/>
    <w:bookmarkStart w:id="21" w:name="what-could-disappoint-investors"/>
    <w:p>
      <w:pPr>
        <w:pStyle w:val="Heading2"/>
      </w:pPr>
      <w:r>
        <w:t xml:space="preserve">What could disappoint investors?</w:t>
      </w:r>
    </w:p>
    <w:p>
      <w:pPr>
        <w:pStyle w:val="FirstParagraph"/>
      </w:pPr>
      <w:r>
        <w:t xml:space="preserve">Key downside risks into the print include:</w:t>
      </w:r>
    </w:p>
    <w:p>
      <w:pPr>
        <w:pStyle w:val="Compact"/>
        <w:numPr>
          <w:ilvl w:val="0"/>
          <w:numId w:val="1009"/>
        </w:numPr>
      </w:pPr>
      <w:r>
        <w:t xml:space="preserve">Silvus revenue or orders that imply slower conversion than expected;</w:t>
      </w:r>
    </w:p>
    <w:p>
      <w:pPr>
        <w:pStyle w:val="Compact"/>
        <w:numPr>
          <w:ilvl w:val="0"/>
          <w:numId w:val="1009"/>
        </w:numPr>
      </w:pPr>
      <w:r>
        <w:t xml:space="preserve">A more pronounced slowdown in core LMR or Product &amp; Systems Integration revenue;</w:t>
      </w:r>
    </w:p>
    <w:p>
      <w:pPr>
        <w:pStyle w:val="Compact"/>
        <w:numPr>
          <w:ilvl w:val="0"/>
          <w:numId w:val="1009"/>
        </w:numPr>
      </w:pPr>
      <w:r>
        <w:t xml:space="preserve">Margin pressure from memory costs, tariffs, or product mix;</w:t>
      </w:r>
    </w:p>
    <w:p>
      <w:pPr>
        <w:pStyle w:val="Compact"/>
        <w:numPr>
          <w:ilvl w:val="0"/>
          <w:numId w:val="1009"/>
        </w:numPr>
      </w:pPr>
      <w:r>
        <w:t xml:space="preserve">Signs that Q1’s Software &amp; Services growth was unusually elevated by specific activations;</w:t>
      </w:r>
    </w:p>
    <w:p>
      <w:pPr>
        <w:pStyle w:val="Compact"/>
        <w:numPr>
          <w:ilvl w:val="0"/>
          <w:numId w:val="1009"/>
        </w:numPr>
      </w:pPr>
      <w:r>
        <w:t xml:space="preserve">Lower-than-expected cash conversion or higher interest expense;</w:t>
      </w:r>
    </w:p>
    <w:p>
      <w:pPr>
        <w:pStyle w:val="Compact"/>
        <w:numPr>
          <w:ilvl w:val="0"/>
          <w:numId w:val="1009"/>
        </w:numPr>
      </w:pPr>
      <w:r>
        <w:t xml:space="preserve">A guide that is merely reiterated without the demand and booking evidence investors expect after Q1’s strong raise.</w:t>
      </w:r>
    </w:p>
    <w:p>
      <w:r>
        <w:pict>
          <v:rect style="width:0;height:1.5pt" o:hralign="center" o:hrstd="t" o:hr="t"/>
        </w:pic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MSI appears fundamentally well positioned heading into 2Q26: its record backlog, high-recurring-revenue Software &amp; Services mix, public-safety franchise, defense exposure through Silvus, and long-cycle customer base support a durable growth narrative.</w:t>
      </w:r>
    </w:p>
    <w:p>
      <w:pPr>
        <w:pStyle w:val="BodyText"/>
      </w:pPr>
      <w:r>
        <w:t xml:space="preserve">However, expectations are now higher after Q1’s record orders and raised outlook. The report’s most important message will be whether MSI can demonstrate that growth is</w:t>
      </w:r>
      <w:r>
        <w:t xml:space="preserve"> </w:t>
      </w:r>
      <w:r>
        <w:rPr>
          <w:b/>
          <w:bCs/>
        </w:rPr>
        <w:t xml:space="preserve">broad-based and durable</w:t>
      </w:r>
      <w:r>
        <w:t xml:space="preserve">, rather than primarily acquisition-driven. The highest-value evidence will be continued order strength, a confident Silvus update, sustained Software &amp; Services execution, and proof that margin expansion remains intact despite supply-chain costs.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2026-08-05T01:03:27Z</dcterms:created>
  <dcterms:modified xsi:type="dcterms:W3CDTF">2026-08-05T01:03:27Z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