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Motorola Solutions (MSI)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Motorola Solutions, Inc.</w:t>
            </w:r>
          </w:p>
        </w:tc>
      </w:tr>
      <w:tr>
        <w:tc>
          <w:tcPr>
            <w:tcW w:type="dxa" w:w="4320"/>
          </w:tcPr>
          <w:p>
            <w:r>
              <w:rPr>
                <w:rFonts w:ascii="Calibri" w:hAnsi="Calibri"/>
                <w:b/>
                <w:sz w:val="22"/>
              </w:rPr>
              <w:t>Ticker</w:t>
            </w:r>
          </w:p>
        </w:tc>
        <w:tc>
          <w:tcPr>
            <w:tcW w:type="dxa" w:w="4320"/>
          </w:tcPr>
          <w:p>
            <w:r>
              <w:rPr>
                <w:rFonts w:ascii="Calibri" w:hAnsi="Calibri"/>
                <w:sz w:val="22"/>
              </w:rPr>
              <w:t>MSI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market close; call at 4:00 PM CT / 5:00 PM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 consensus is a manageable bar, management guided 8.5% revenue growth and $3.82–$3.88 non-GAAP EPS, and the biggest swing factor is whether the H2 LMR organic re-acceleration thesis is confirmed by order commentary and backlog trajectory.</w:t>
      </w:r>
    </w:p>
    <w:p>
      <w:r>
        <w:rPr>
          <w:rFonts w:ascii="Calibri" w:hAnsi="Calibri"/>
          <w:color w:val="525866"/>
          <w:sz w:val="22"/>
        </w:rPr>
        <w:t xml:space="preserve">Heading into Q2 2026, MSI's bar looks achievable: management guided revenue growth of approximately 8.5% (implying ~$3.00B) and non-GAAP EPS of $3.82–$3.88, and consensus has barely moved since the Q1 print — sitting at $3.00B and $3.85 respectively — suggesting the Street is largely anchored to guidance rather than pricing in upside. The tone from management has been consistently bullish since Q1: at the BofA Tech Conference (June 3), CFO Jason Winkler reiterated the full-year framework, raised Silvus to $750M, confirmed 100 bps of operating margin expansion in both segments, and disclosed ~$400M of buybacks already executed quarter-to-date, signaling confidence in the balance sheet. Estimate revisions have been essentially flat since the Q1 print, which is unusual for a company with this level of backlog visibility and suggests the Street is waiting for Q2 confirmation before moving numbers higher. The stock has recovered from its post-Q1 sell-off (down ~11% the day after Q1 earnings) and is now up ~2% since the last print vs. XLI +7% and SPY +5%, meaning MSI has underperformed its sector — a setup that could reverse sharply on a clean beat-and-raise. The key wildcard is </w:t>
      </w:r>
      <w:r>
        <w:rPr>
          <w:rFonts w:ascii="Calibri" w:hAnsi="Calibri"/>
          <w:b/>
          <w:color w:val="525866"/>
          <w:sz w:val="22"/>
        </w:rPr>
        <w:t>LMR organic revenue</w:t>
      </w:r>
      <w:r>
        <w:rPr>
          <w:rFonts w:ascii="Calibri" w:hAnsi="Calibri"/>
          <w:color w:val="525866"/>
          <w:sz w:val="22"/>
        </w:rPr>
        <w:t>: management called Q2 the "last of some very elevated comps" from supply-chain normalization, and any sign that the H2 re-acceleration to ~9–10% organic growth is on track — or that backlog held up sequentially — would be the most important data point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anchored to guidance; the bigger swing factor is Software &amp; Services growth and backlog trajectory, not EPS. A beat on revenue with strong backlog commentary would be the most positive outcome.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$2.714B</w:t>
            </w:r>
          </w:p>
        </w:tc>
        <w:tc>
          <w:tcPr>
            <w:tcW w:type="dxa" w:w="1234"/>
          </w:tcPr>
          <w:p>
            <w:r>
              <w:rPr>
                <w:rFonts w:ascii="Calibri" w:hAnsi="Calibri"/>
                <w:sz w:val="22"/>
              </w:rPr>
              <w:t>$2.765B</w:t>
            </w:r>
          </w:p>
        </w:tc>
        <w:tc>
          <w:tcPr>
            <w:tcW w:type="dxa" w:w="1234"/>
          </w:tcPr>
          <w:p>
            <w:r>
              <w:rPr>
                <w:rFonts w:ascii="Calibri" w:hAnsi="Calibri"/>
                <w:sz w:val="22"/>
              </w:rPr>
              <w:t>$3.001B</w:t>
            </w:r>
          </w:p>
        </w:tc>
        <w:tc>
          <w:tcPr>
            <w:tcW w:type="dxa" w:w="1234"/>
          </w:tcPr>
          <w:p>
            <w:r>
              <w:rPr>
                <w:rFonts w:ascii="Calibri" w:hAnsi="Calibri"/>
                <w:sz w:val="22"/>
              </w:rPr>
              <w:t>+8.5%</w:t>
            </w:r>
          </w:p>
        </w:tc>
        <w:tc>
          <w:tcPr>
            <w:tcW w:type="dxa" w:w="1234"/>
          </w:tcPr>
          <w:p>
            <w:r>
              <w:rPr>
                <w:rFonts w:ascii="Calibri" w:hAnsi="Calibri"/>
                <w:sz w:val="22"/>
              </w:rPr>
              <w:t>~8.5% growth (~$3.00B)</w:t>
            </w:r>
          </w:p>
        </w:tc>
        <w:tc>
          <w:tcPr>
            <w:tcW w:type="dxa" w:w="1234"/>
          </w:tcPr>
          <w:p>
            <w:r>
              <w:rPr>
                <w:rFonts w:ascii="Calibri" w:hAnsi="Calibri"/>
                <w:sz w:val="22"/>
              </w:rPr>
              <w:t>~+0.0% (at midpoint)</w:t>
            </w:r>
          </w:p>
        </w:tc>
      </w:tr>
      <w:tr>
        <w:tc>
          <w:tcPr>
            <w:tcW w:type="dxa" w:w="1234"/>
          </w:tcPr>
          <w:p>
            <w:r>
              <w:rPr>
                <w:rFonts w:ascii="Calibri" w:hAnsi="Calibri"/>
                <w:sz w:val="22"/>
              </w:rPr>
              <w:t>Non-GAAP EPS (Diluted, Operating)</w:t>
            </w:r>
          </w:p>
        </w:tc>
        <w:tc>
          <w:tcPr>
            <w:tcW w:type="dxa" w:w="1234"/>
          </w:tcPr>
          <w:p>
            <w:r>
              <w:rPr>
                <w:rFonts w:ascii="Calibri" w:hAnsi="Calibri"/>
                <w:sz w:val="22"/>
              </w:rPr>
              <w:t>$3.37</w:t>
            </w:r>
          </w:p>
        </w:tc>
        <w:tc>
          <w:tcPr>
            <w:tcW w:type="dxa" w:w="1234"/>
          </w:tcPr>
          <w:p>
            <w:r>
              <w:rPr>
                <w:rFonts w:ascii="Calibri" w:hAnsi="Calibri"/>
                <w:sz w:val="22"/>
              </w:rPr>
              <w:t>$3.57</w:t>
            </w:r>
          </w:p>
        </w:tc>
        <w:tc>
          <w:tcPr>
            <w:tcW w:type="dxa" w:w="1234"/>
          </w:tcPr>
          <w:p>
            <w:r>
              <w:rPr>
                <w:rFonts w:ascii="Calibri" w:hAnsi="Calibri"/>
                <w:sz w:val="22"/>
              </w:rPr>
              <w:t>$3.85</w:t>
            </w:r>
          </w:p>
        </w:tc>
        <w:tc>
          <w:tcPr>
            <w:tcW w:type="dxa" w:w="1234"/>
          </w:tcPr>
          <w:p>
            <w:r>
              <w:rPr>
                <w:rFonts w:ascii="Calibri" w:hAnsi="Calibri"/>
                <w:sz w:val="22"/>
              </w:rPr>
              <w:t>+7.8%</w:t>
            </w:r>
          </w:p>
        </w:tc>
        <w:tc>
          <w:tcPr>
            <w:tcW w:type="dxa" w:w="1234"/>
          </w:tcPr>
          <w:p>
            <w:r>
              <w:rPr>
                <w:rFonts w:ascii="Calibri" w:hAnsi="Calibri"/>
                <w:sz w:val="22"/>
              </w:rPr>
              <w:t>$3.82–$3.88</w:t>
            </w:r>
          </w:p>
        </w:tc>
        <w:tc>
          <w:tcPr>
            <w:tcW w:type="dxa" w:w="1234"/>
          </w:tcPr>
          <w:p>
            <w:r>
              <w:rPr>
                <w:rFonts w:ascii="Calibri" w:hAnsi="Calibri"/>
                <w:sz w:val="22"/>
              </w:rPr>
              <w:t>+0.1% vs. midpoint ($3.85)</w:t>
            </w:r>
          </w:p>
        </w:tc>
      </w:tr>
      <w:tr>
        <w:tc>
          <w:tcPr>
            <w:tcW w:type="dxa" w:w="1234"/>
          </w:tcPr>
          <w:p>
            <w:r>
              <w:rPr>
                <w:rFonts w:ascii="Calibri" w:hAnsi="Calibri"/>
                <w:sz w:val="22"/>
              </w:rPr>
              <w:t>Net Sales — Software &amp; Services ($B)</w:t>
            </w:r>
          </w:p>
        </w:tc>
        <w:tc>
          <w:tcPr>
            <w:tcW w:type="dxa" w:w="1234"/>
          </w:tcPr>
          <w:p>
            <w:r>
              <w:rPr>
                <w:rFonts w:ascii="Calibri" w:hAnsi="Calibri"/>
                <w:sz w:val="22"/>
              </w:rPr>
              <w:t>$1.155B</w:t>
            </w:r>
          </w:p>
        </w:tc>
        <w:tc>
          <w:tcPr>
            <w:tcW w:type="dxa" w:w="1234"/>
          </w:tcPr>
          <w:p>
            <w:r>
              <w:rPr>
                <w:rFonts w:ascii="Calibri" w:hAnsi="Calibri"/>
                <w:sz w:val="22"/>
              </w:rPr>
              <w:t>$1.112B</w:t>
            </w:r>
          </w:p>
        </w:tc>
        <w:tc>
          <w:tcPr>
            <w:tcW w:type="dxa" w:w="1234"/>
          </w:tcPr>
          <w:p>
            <w:r>
              <w:rPr>
                <w:rFonts w:ascii="Calibri" w:hAnsi="Calibri"/>
                <w:sz w:val="22"/>
              </w:rPr>
              <w:t>$1.239B</w:t>
            </w:r>
          </w:p>
        </w:tc>
        <w:tc>
          <w:tcPr>
            <w:tcW w:type="dxa" w:w="1234"/>
          </w:tcPr>
          <w:p>
            <w:r>
              <w:rPr>
                <w:rFonts w:ascii="Calibri" w:hAnsi="Calibri"/>
                <w:sz w:val="22"/>
              </w:rPr>
              <w:t>+11.4%</w:t>
            </w:r>
          </w:p>
        </w:tc>
        <w:tc>
          <w:tcPr>
            <w:tcW w:type="dxa" w:w="1234"/>
          </w:tcPr>
          <w:p>
            <w:r>
              <w:rPr>
                <w:rFonts w:ascii="Calibri" w:hAnsi="Calibri"/>
                <w:sz w:val="22"/>
              </w:rPr>
              <w:t>Low double-digit growth (FY guide)</w:t>
            </w:r>
          </w:p>
        </w:tc>
        <w:tc>
          <w:tcPr>
            <w:tcW w:type="dxa" w:w="1234"/>
          </w:tcPr>
          <w:p>
            <w:r>
              <w:rPr>
                <w:rFonts w:ascii="Calibri" w:hAnsi="Calibri"/>
                <w:sz w:val="22"/>
              </w:rPr>
              <w:t>N/A (no Q2-specific S&amp;S guidance)</w:t>
            </w:r>
          </w:p>
        </w:tc>
      </w:tr>
      <w:tr>
        <w:tc>
          <w:tcPr>
            <w:tcW w:type="dxa" w:w="1234"/>
          </w:tcPr>
          <w:p>
            <w:r>
              <w:rPr>
                <w:rFonts w:ascii="Calibri" w:hAnsi="Calibri"/>
                <w:sz w:val="22"/>
              </w:rPr>
              <w:t>Net Sales — LMR ($B)</w:t>
            </w:r>
          </w:p>
        </w:tc>
        <w:tc>
          <w:tcPr>
            <w:tcW w:type="dxa" w:w="1234"/>
          </w:tcPr>
          <w:p>
            <w:r>
              <w:rPr>
                <w:rFonts w:ascii="Calibri" w:hAnsi="Calibri"/>
                <w:sz w:val="22"/>
              </w:rPr>
              <w:t>$1.968B</w:t>
            </w:r>
          </w:p>
        </w:tc>
        <w:tc>
          <w:tcPr>
            <w:tcW w:type="dxa" w:w="1234"/>
          </w:tcPr>
          <w:p>
            <w:r>
              <w:rPr>
                <w:rFonts w:ascii="Calibri" w:hAnsi="Calibri"/>
                <w:sz w:val="22"/>
              </w:rPr>
              <w:t>$2.005B</w:t>
            </w:r>
          </w:p>
        </w:tc>
        <w:tc>
          <w:tcPr>
            <w:tcW w:type="dxa" w:w="1234"/>
          </w:tcPr>
          <w:p>
            <w:r>
              <w:rPr>
                <w:rFonts w:ascii="Calibri" w:hAnsi="Calibri"/>
                <w:sz w:val="22"/>
              </w:rPr>
              <w:t>$2.144B</w:t>
            </w:r>
          </w:p>
        </w:tc>
        <w:tc>
          <w:tcPr>
            <w:tcW w:type="dxa" w:w="1234"/>
          </w:tcPr>
          <w:p>
            <w:r>
              <w:rPr>
                <w:rFonts w:ascii="Calibri" w:hAnsi="Calibri"/>
                <w:sz w:val="22"/>
              </w:rPr>
              <w:t>+6.9%</w:t>
            </w:r>
          </w:p>
        </w:tc>
        <w:tc>
          <w:tcPr>
            <w:tcW w:type="dxa" w:w="1234"/>
          </w:tcPr>
          <w:p>
            <w:r>
              <w:rPr>
                <w:rFonts w:ascii="Calibri" w:hAnsi="Calibri"/>
                <w:sz w:val="22"/>
              </w:rPr>
              <w:t>8–9% FY growth (MCN tech)</w:t>
            </w:r>
          </w:p>
        </w:tc>
        <w:tc>
          <w:tcPr>
            <w:tcW w:type="dxa" w:w="1234"/>
          </w:tcPr>
          <w:p>
            <w:r>
              <w:rPr>
                <w:rFonts w:ascii="Calibri" w:hAnsi="Calibri"/>
                <w:sz w:val="22"/>
              </w:rPr>
              <w:t>N/A (no Q2-specific LMR guidance)</w:t>
            </w:r>
          </w:p>
        </w:tc>
      </w:tr>
      <w:tr>
        <w:tc>
          <w:tcPr>
            <w:tcW w:type="dxa" w:w="1234"/>
          </w:tcPr>
          <w:p>
            <w:r>
              <w:rPr>
                <w:rFonts w:ascii="Calibri" w:hAnsi="Calibri"/>
                <w:sz w:val="22"/>
              </w:rPr>
              <w:t>Net Sales — Video Security ($B)</w:t>
            </w:r>
          </w:p>
        </w:tc>
        <w:tc>
          <w:tcPr>
            <w:tcW w:type="dxa" w:w="1234"/>
          </w:tcPr>
          <w:p>
            <w:r>
              <w:rPr>
                <w:rFonts w:ascii="Calibri" w:hAnsi="Calibri"/>
                <w:sz w:val="22"/>
              </w:rPr>
              <w:t>$0.510B</w:t>
            </w:r>
          </w:p>
        </w:tc>
        <w:tc>
          <w:tcPr>
            <w:tcW w:type="dxa" w:w="1234"/>
          </w:tcPr>
          <w:p>
            <w:r>
              <w:rPr>
                <w:rFonts w:ascii="Calibri" w:hAnsi="Calibri"/>
                <w:sz w:val="22"/>
              </w:rPr>
              <w:t>$0.523B</w:t>
            </w:r>
          </w:p>
        </w:tc>
        <w:tc>
          <w:tcPr>
            <w:tcW w:type="dxa" w:w="1234"/>
          </w:tcPr>
          <w:p>
            <w:r>
              <w:rPr>
                <w:rFonts w:ascii="Calibri" w:hAnsi="Calibri"/>
                <w:sz w:val="22"/>
              </w:rPr>
              <w:t>$0.583B</w:t>
            </w:r>
          </w:p>
        </w:tc>
        <w:tc>
          <w:tcPr>
            <w:tcW w:type="dxa" w:w="1234"/>
          </w:tcPr>
          <w:p>
            <w:r>
              <w:rPr>
                <w:rFonts w:ascii="Calibri" w:hAnsi="Calibri"/>
                <w:sz w:val="22"/>
              </w:rPr>
              <w:t>+11.5%</w:t>
            </w:r>
          </w:p>
        </w:tc>
        <w:tc>
          <w:tcPr>
            <w:tcW w:type="dxa" w:w="1234"/>
          </w:tcPr>
          <w:p>
            <w:r>
              <w:rPr>
                <w:rFonts w:ascii="Calibri" w:hAnsi="Calibri"/>
                <w:sz w:val="22"/>
              </w:rPr>
              <w:t>10–11% FY growth</w:t>
            </w:r>
          </w:p>
        </w:tc>
        <w:tc>
          <w:tcPr>
            <w:tcW w:type="dxa" w:w="1234"/>
          </w:tcPr>
          <w:p>
            <w:r>
              <w:rPr>
                <w:rFonts w:ascii="Calibri" w:hAnsi="Calibri"/>
                <w:sz w:val="22"/>
              </w:rPr>
              <w:t>N/A (no Q2-specific Video guidance)</w:t>
            </w:r>
          </w:p>
        </w:tc>
      </w:tr>
      <w:tr>
        <w:tc>
          <w:tcPr>
            <w:tcW w:type="dxa" w:w="1234"/>
          </w:tcPr>
          <w:p>
            <w:r>
              <w:rPr>
                <w:rFonts w:ascii="Calibri" w:hAnsi="Calibri"/>
                <w:sz w:val="22"/>
              </w:rPr>
              <w:t>Net Sales — Command Center ($B)</w:t>
            </w:r>
          </w:p>
        </w:tc>
        <w:tc>
          <w:tcPr>
            <w:tcW w:type="dxa" w:w="1234"/>
          </w:tcPr>
          <w:p>
            <w:r>
              <w:rPr>
                <w:rFonts w:ascii="Calibri" w:hAnsi="Calibri"/>
                <w:sz w:val="22"/>
              </w:rPr>
              <w:t>$0.236B</w:t>
            </w:r>
          </w:p>
        </w:tc>
        <w:tc>
          <w:tcPr>
            <w:tcW w:type="dxa" w:w="1234"/>
          </w:tcPr>
          <w:p>
            <w:r>
              <w:rPr>
                <w:rFonts w:ascii="Calibri" w:hAnsi="Calibri"/>
                <w:sz w:val="22"/>
              </w:rPr>
              <w:t>$0.237B</w:t>
            </w:r>
          </w:p>
        </w:tc>
        <w:tc>
          <w:tcPr>
            <w:tcW w:type="dxa" w:w="1234"/>
          </w:tcPr>
          <w:p>
            <w:r>
              <w:rPr>
                <w:rFonts w:ascii="Calibri" w:hAnsi="Calibri"/>
                <w:sz w:val="22"/>
              </w:rPr>
              <w:t>$0.276B</w:t>
            </w:r>
          </w:p>
        </w:tc>
        <w:tc>
          <w:tcPr>
            <w:tcW w:type="dxa" w:w="1234"/>
          </w:tcPr>
          <w:p>
            <w:r>
              <w:rPr>
                <w:rFonts w:ascii="Calibri" w:hAnsi="Calibri"/>
                <w:sz w:val="22"/>
              </w:rPr>
              <w:t>+16.5%</w:t>
            </w:r>
          </w:p>
        </w:tc>
        <w:tc>
          <w:tcPr>
            <w:tcW w:type="dxa" w:w="1234"/>
          </w:tcPr>
          <w:p>
            <w:r>
              <w:rPr>
                <w:rFonts w:ascii="Calibri" w:hAnsi="Calibri"/>
                <w:sz w:val="22"/>
              </w:rPr>
              <w:t>15% FY growth</w:t>
            </w:r>
          </w:p>
        </w:tc>
        <w:tc>
          <w:tcPr>
            <w:tcW w:type="dxa" w:w="1234"/>
          </w:tcPr>
          <w:p>
            <w:r>
              <w:rPr>
                <w:rFonts w:ascii="Calibri" w:hAnsi="Calibri"/>
                <w:sz w:val="22"/>
              </w:rPr>
              <w:t>N/A (no Q2-specific CC guidance)</w:t>
            </w:r>
          </w:p>
        </w:tc>
      </w:tr>
      <w:tr>
        <w:tc>
          <w:tcPr>
            <w:tcW w:type="dxa" w:w="1234"/>
          </w:tcPr>
          <w:p>
            <w:r>
              <w:rPr>
                <w:rFonts w:ascii="Calibri" w:hAnsi="Calibri"/>
                <w:sz w:val="22"/>
              </w:rPr>
              <w:t>Total Backlog ($B)</w:t>
            </w:r>
          </w:p>
        </w:tc>
        <w:tc>
          <w:tcPr>
            <w:tcW w:type="dxa" w:w="1234"/>
          </w:tcPr>
          <w:p>
            <w:r>
              <w:rPr>
                <w:rFonts w:ascii="Calibri" w:hAnsi="Calibri"/>
                <w:sz w:val="22"/>
              </w:rPr>
              <w:t>$15.7B (record Q1)</w:t>
            </w:r>
          </w:p>
        </w:tc>
        <w:tc>
          <w:tcPr>
            <w:tcW w:type="dxa" w:w="1234"/>
          </w:tcPr>
          <w:p>
            <w:r>
              <w:rPr>
                <w:rFonts w:ascii="Calibri" w:hAnsi="Calibri"/>
                <w:sz w:val="22"/>
              </w:rPr>
              <w:t>$14.1B</w:t>
            </w:r>
          </w:p>
        </w:tc>
        <w:tc>
          <w:tcPr>
            <w:tcW w:type="dxa" w:w="1234"/>
          </w:tcPr>
          <w:p>
            <w:r>
              <w:rPr>
                <w:rFonts w:ascii="Calibri" w:hAnsi="Calibri"/>
                <w:sz w:val="22"/>
              </w:rPr>
              <w:t>$15.9B (consensus)</w:t>
            </w:r>
          </w:p>
        </w:tc>
        <w:tc>
          <w:tcPr>
            <w:tcW w:type="dxa" w:w="1234"/>
          </w:tcPr>
          <w:p>
            <w:r>
              <w:rPr>
                <w:rFonts w:ascii="Calibri" w:hAnsi="Calibri"/>
                <w:sz w:val="22"/>
              </w:rPr>
              <w:t>+12.8%</w:t>
            </w:r>
          </w:p>
        </w:tc>
        <w:tc>
          <w:tcPr>
            <w:tcW w:type="dxa" w:w="1234"/>
          </w:tcPr>
          <w:p>
            <w:r>
              <w:rPr>
                <w:rFonts w:ascii="Calibri" w:hAnsi="Calibri"/>
                <w:sz w:val="22"/>
              </w:rPr>
              <w:t>No specific Q2 backlog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MSI Q1 2026 Earnings Release (May 7, 2026); MSI Q1 2026 Earnings Call Transcript; BofA Global Technology Conference Transcript (June 3,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$2.714B</w:t>
            </w:r>
          </w:p>
        </w:tc>
        <w:tc>
          <w:tcPr>
            <w:tcW w:type="dxa" w:w="1728"/>
          </w:tcPr>
          <w:p>
            <w:r>
              <w:rPr>
                <w:rFonts w:ascii="Calibri" w:hAnsi="Calibri"/>
                <w:sz w:val="22"/>
              </w:rPr>
              <w:t>$2.698B</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$3.380B</w:t>
            </w:r>
          </w:p>
        </w:tc>
        <w:tc>
          <w:tcPr>
            <w:tcW w:type="dxa" w:w="1728"/>
          </w:tcPr>
          <w:p>
            <w:r>
              <w:rPr>
                <w:rFonts w:ascii="Calibri" w:hAnsi="Calibri"/>
                <w:sz w:val="22"/>
              </w:rPr>
              <w:t>$3.343B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$3.009B</w:t>
            </w:r>
          </w:p>
        </w:tc>
        <w:tc>
          <w:tcPr>
            <w:tcW w:type="dxa" w:w="1728"/>
          </w:tcPr>
          <w:p>
            <w:r>
              <w:rPr>
                <w:rFonts w:ascii="Calibri" w:hAnsi="Calibri"/>
                <w:sz w:val="22"/>
              </w:rPr>
              <w:t>$2.990B</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$2.765B</w:t>
            </w:r>
          </w:p>
        </w:tc>
        <w:tc>
          <w:tcPr>
            <w:tcW w:type="dxa" w:w="1728"/>
          </w:tcPr>
          <w:p>
            <w:r>
              <w:rPr>
                <w:rFonts w:ascii="Calibri" w:hAnsi="Calibri"/>
                <w:sz w:val="22"/>
              </w:rPr>
              <w:t>$2.735B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$2.528B</w:t>
            </w:r>
          </w:p>
        </w:tc>
        <w:tc>
          <w:tcPr>
            <w:tcW w:type="dxa" w:w="1728"/>
          </w:tcPr>
          <w:p>
            <w:r>
              <w:rPr>
                <w:rFonts w:ascii="Calibri" w:hAnsi="Calibri"/>
                <w:sz w:val="22"/>
              </w:rPr>
              <w:t>$2.516B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$3.010B</w:t>
            </w:r>
          </w:p>
        </w:tc>
        <w:tc>
          <w:tcPr>
            <w:tcW w:type="dxa" w:w="1728"/>
          </w:tcPr>
          <w:p>
            <w:r>
              <w:rPr>
                <w:rFonts w:ascii="Calibri" w:hAnsi="Calibri"/>
                <w:sz w:val="22"/>
              </w:rPr>
              <w:t>$2.992B</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$2.790B</w:t>
            </w:r>
          </w:p>
        </w:tc>
        <w:tc>
          <w:tcPr>
            <w:tcW w:type="dxa" w:w="1728"/>
          </w:tcPr>
          <w:p>
            <w:r>
              <w:rPr>
                <w:rFonts w:ascii="Calibri" w:hAnsi="Calibri"/>
                <w:sz w:val="22"/>
              </w:rPr>
              <w:t>$2.759B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$2.765B</w:t>
            </w:r>
          </w:p>
        </w:tc>
        <w:tc>
          <w:tcPr>
            <w:tcW w:type="dxa" w:w="1728"/>
          </w:tcPr>
          <w:p>
            <w:r>
              <w:rPr>
                <w:rFonts w:ascii="Calibri" w:hAnsi="Calibri"/>
                <w:sz w:val="22"/>
              </w:rPr>
              <w:t>$2.735B</w:t>
            </w:r>
          </w:p>
        </w:tc>
        <w:tc>
          <w:tcPr>
            <w:tcW w:type="dxa" w:w="1728"/>
          </w:tcPr>
          <w:p>
            <w:r>
              <w:rPr>
                <w:rFonts w:ascii="Calibri" w:hAnsi="Calibri"/>
                <w:sz w:val="22"/>
              </w:rPr>
              <w:t>+1.1%</w:t>
            </w:r>
          </w:p>
        </w:tc>
        <w:tc>
          <w:tcPr>
            <w:tcW w:type="dxa" w:w="1728"/>
          </w:tcPr>
          <w:p>
            <w:r>
              <w:rPr>
                <w:rFonts w:ascii="Calibri" w:hAnsi="Calibri"/>
                <w:b/>
                <w:color w:val="30A46C"/>
                <w:sz w:val="22"/>
              </w:rPr>
              <w:t>Beat</w:t>
            </w:r>
          </w:p>
        </w:tc>
      </w:tr>
    </w:tbl>
    <w:p>
      <w:pPr>
        <w:pStyle w:val="Heading4"/>
      </w:pPr>
      <w:r>
        <w:rPr>
          <w:rFonts w:ascii="Calibri" w:hAnsi="Calibri"/>
          <w:b/>
          <w:color w:val="3B4259"/>
          <w:sz w:val="22"/>
        </w:rPr>
        <w:t>Non-GAAP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$3.37</w:t>
            </w:r>
          </w:p>
        </w:tc>
        <w:tc>
          <w:tcPr>
            <w:tcW w:type="dxa" w:w="1728"/>
          </w:tcPr>
          <w:p>
            <w:r>
              <w:rPr>
                <w:rFonts w:ascii="Calibri" w:hAnsi="Calibri"/>
                <w:sz w:val="22"/>
              </w:rPr>
              <w:t>$3.24</w:t>
            </w:r>
          </w:p>
        </w:tc>
        <w:tc>
          <w:tcPr>
            <w:tcW w:type="dxa" w:w="1728"/>
          </w:tcPr>
          <w:p>
            <w:r>
              <w:rPr>
                <w:rFonts w:ascii="Calibri" w:hAnsi="Calibri"/>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$4.59</w:t>
            </w:r>
          </w:p>
        </w:tc>
        <w:tc>
          <w:tcPr>
            <w:tcW w:type="dxa" w:w="1728"/>
          </w:tcPr>
          <w:p>
            <w:r>
              <w:rPr>
                <w:rFonts w:ascii="Calibri" w:hAnsi="Calibri"/>
                <w:sz w:val="22"/>
              </w:rPr>
              <w:t>$4.35</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$4.06</w:t>
            </w:r>
          </w:p>
        </w:tc>
        <w:tc>
          <w:tcPr>
            <w:tcW w:type="dxa" w:w="1728"/>
          </w:tcPr>
          <w:p>
            <w:r>
              <w:rPr>
                <w:rFonts w:ascii="Calibri" w:hAnsi="Calibri"/>
                <w:sz w:val="22"/>
              </w:rPr>
              <w:t>$3.84</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$3.57</w:t>
            </w:r>
          </w:p>
        </w:tc>
        <w:tc>
          <w:tcPr>
            <w:tcW w:type="dxa" w:w="1728"/>
          </w:tcPr>
          <w:p>
            <w:r>
              <w:rPr>
                <w:rFonts w:ascii="Calibri" w:hAnsi="Calibri"/>
                <w:sz w:val="22"/>
              </w:rPr>
              <w:t>$3.35</w:t>
            </w:r>
          </w:p>
        </w:tc>
        <w:tc>
          <w:tcPr>
            <w:tcW w:type="dxa" w:w="1728"/>
          </w:tcPr>
          <w:p>
            <w:r>
              <w:rPr>
                <w:rFonts w:ascii="Calibri" w:hAnsi="Calibri"/>
                <w:sz w:val="22"/>
              </w:rPr>
              <w:t>+6.6%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$3.18</w:t>
            </w:r>
          </w:p>
        </w:tc>
        <w:tc>
          <w:tcPr>
            <w:tcW w:type="dxa" w:w="1728"/>
          </w:tcPr>
          <w:p>
            <w:r>
              <w:rPr>
                <w:rFonts w:ascii="Calibri" w:hAnsi="Calibri"/>
                <w:sz w:val="22"/>
              </w:rPr>
              <w:t>$3.01</w:t>
            </w:r>
          </w:p>
        </w:tc>
        <w:tc>
          <w:tcPr>
            <w:tcW w:type="dxa" w:w="1728"/>
          </w:tcPr>
          <w:p>
            <w:r>
              <w:rPr>
                <w:rFonts w:ascii="Calibri" w:hAnsi="Calibri"/>
                <w:sz w:val="22"/>
              </w:rPr>
              <w:t>+5.6%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$4.04</w:t>
            </w:r>
          </w:p>
        </w:tc>
        <w:tc>
          <w:tcPr>
            <w:tcW w:type="dxa" w:w="1728"/>
          </w:tcPr>
          <w:p>
            <w:r>
              <w:rPr>
                <w:rFonts w:ascii="Calibri" w:hAnsi="Calibri"/>
                <w:sz w:val="22"/>
              </w:rPr>
              <w:t>$3.87</w:t>
            </w:r>
          </w:p>
        </w:tc>
        <w:tc>
          <w:tcPr>
            <w:tcW w:type="dxa" w:w="1728"/>
          </w:tcPr>
          <w:p>
            <w:r>
              <w:rPr>
                <w:rFonts w:ascii="Calibri" w:hAnsi="Calibri"/>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$3.74</w:t>
            </w:r>
          </w:p>
        </w:tc>
        <w:tc>
          <w:tcPr>
            <w:tcW w:type="dxa" w:w="1728"/>
          </w:tcPr>
          <w:p>
            <w:r>
              <w:rPr>
                <w:rFonts w:ascii="Calibri" w:hAnsi="Calibri"/>
                <w:sz w:val="22"/>
              </w:rPr>
              <w:t>$3.37</w:t>
            </w:r>
          </w:p>
        </w:tc>
        <w:tc>
          <w:tcPr>
            <w:tcW w:type="dxa" w:w="1728"/>
          </w:tcPr>
          <w:p>
            <w:r>
              <w:rPr>
                <w:rFonts w:ascii="Calibri" w:hAnsi="Calibri"/>
                <w:sz w:val="22"/>
              </w:rPr>
              <w:t>+11.0%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$3.57</w:t>
            </w:r>
          </w:p>
        </w:tc>
        <w:tc>
          <w:tcPr>
            <w:tcW w:type="dxa" w:w="1728"/>
          </w:tcPr>
          <w:p>
            <w:r>
              <w:rPr>
                <w:rFonts w:ascii="Calibri" w:hAnsi="Calibri"/>
                <w:sz w:val="22"/>
              </w:rPr>
              <w:t>$3.35</w:t>
            </w:r>
          </w:p>
        </w:tc>
        <w:tc>
          <w:tcPr>
            <w:tcW w:type="dxa" w:w="1728"/>
          </w:tcPr>
          <w:p>
            <w:r>
              <w:rPr>
                <w:rFonts w:ascii="Calibri" w:hAnsi="Calibri"/>
                <w:sz w:val="22"/>
              </w:rPr>
              <w:t>+6.6%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MSI has beaten consensus on both revenue and non-GAAP EPS in each of the last 8 quarters, with EPS beats averaging ~6–11% above consensus — a consistent pattern of conservative guidance and execution. The bar for Q2 is set similarly low relative to historical beat magnitude.</w:t>
      </w:r>
    </w:p>
    <w:p>
      <w:r>
        <w:rPr>
          <w:rFonts w:ascii="Calibri" w:hAnsi="Calibri"/>
          <w:i/>
          <w:color w:val="525866"/>
          <w:sz w:val="22"/>
        </w:rPr>
        <w:t>Source: Visible Alpha Consensus and Actuals Data.</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the Q1 print with no formal revisions, but management tone has been incrementally bullish — particularly on Silvus, buybacks, and the H2 LMR re-acceleration thesis. No post-earnings 8-K guidance changes.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 Growth</w:t>
            </w:r>
          </w:p>
        </w:tc>
        <w:tc>
          <w:tcPr>
            <w:tcW w:type="dxa" w:w="1728"/>
          </w:tcPr>
          <w:p>
            <w:r>
              <w:rPr>
                <w:rFonts w:ascii="Calibri" w:hAnsi="Calibri"/>
                <w:sz w:val="22"/>
              </w:rPr>
              <w:t>~8.5% YoY</w:t>
            </w:r>
          </w:p>
        </w:tc>
        <w:tc>
          <w:tcPr>
            <w:tcW w:type="dxa" w:w="1728"/>
          </w:tcPr>
          <w:p>
            <w:r>
              <w:rPr>
                <w:rFonts w:ascii="Calibri" w:hAnsi="Calibri"/>
                <w:sz w:val="22"/>
              </w:rPr>
              <w:t>—</w:t>
            </w:r>
          </w:p>
        </w:tc>
        <w:tc>
          <w:tcPr>
            <w:tcW w:type="dxa" w:w="1728"/>
          </w:tcPr>
          <w:p>
            <w:r>
              <w:rPr>
                <w:rFonts w:ascii="Calibri" w:hAnsi="Calibri"/>
                <w:sz w:val="22"/>
              </w:rPr>
              <w:t>+8.5% YoY (~$3.001B)</w:t>
            </w:r>
          </w:p>
        </w:tc>
        <w:tc>
          <w:tcPr>
            <w:tcW w:type="dxa" w:w="1728"/>
          </w:tcPr>
          <w:p>
            <w:r>
              <w:rPr>
                <w:rFonts w:ascii="Calibri" w:hAnsi="Calibri"/>
                <w:sz w:val="22"/>
              </w:rPr>
              <w:t>Unchanged; consensus anchored to guidance midpoint</w:t>
            </w:r>
          </w:p>
        </w:tc>
      </w:tr>
      <w:tr>
        <w:tc>
          <w:tcPr>
            <w:tcW w:type="dxa" w:w="1728"/>
          </w:tcPr>
          <w:p>
            <w:r>
              <w:rPr>
                <w:rFonts w:ascii="Calibri" w:hAnsi="Calibri"/>
                <w:sz w:val="22"/>
              </w:rPr>
              <w:t>Q2 2026 Non-GAAP EPS</w:t>
            </w:r>
          </w:p>
        </w:tc>
        <w:tc>
          <w:tcPr>
            <w:tcW w:type="dxa" w:w="1728"/>
          </w:tcPr>
          <w:p>
            <w:r>
              <w:rPr>
                <w:rFonts w:ascii="Calibri" w:hAnsi="Calibri"/>
                <w:sz w:val="22"/>
              </w:rPr>
              <w:t>$3.82–$3.88</w:t>
            </w:r>
          </w:p>
        </w:tc>
        <w:tc>
          <w:tcPr>
            <w:tcW w:type="dxa" w:w="1728"/>
          </w:tcPr>
          <w:p>
            <w:r>
              <w:rPr>
                <w:rFonts w:ascii="Calibri" w:hAnsi="Calibri"/>
                <w:sz w:val="22"/>
              </w:rPr>
              <w:t>—</w:t>
            </w:r>
          </w:p>
        </w:tc>
        <w:tc>
          <w:tcPr>
            <w:tcW w:type="dxa" w:w="1728"/>
          </w:tcPr>
          <w:p>
            <w:r>
              <w:rPr>
                <w:rFonts w:ascii="Calibri" w:hAnsi="Calibri"/>
                <w:sz w:val="22"/>
              </w:rPr>
              <w:t>$3.85</w:t>
            </w:r>
          </w:p>
        </w:tc>
        <w:tc>
          <w:tcPr>
            <w:tcW w:type="dxa" w:w="1728"/>
          </w:tcPr>
          <w:p>
            <w:r>
              <w:rPr>
                <w:rFonts w:ascii="Calibri" w:hAnsi="Calibri"/>
                <w:sz w:val="22"/>
              </w:rPr>
              <w:t>Unchanged; consensus at midpoint</w:t>
            </w:r>
          </w:p>
        </w:tc>
      </w:tr>
      <w:tr>
        <w:tc>
          <w:tcPr>
            <w:tcW w:type="dxa" w:w="1728"/>
          </w:tcPr>
          <w:p>
            <w:r>
              <w:rPr>
                <w:rFonts w:ascii="Calibri" w:hAnsi="Calibri"/>
                <w:sz w:val="22"/>
              </w:rPr>
              <w:t>FY 2026 Revenue</w:t>
            </w:r>
          </w:p>
        </w:tc>
        <w:tc>
          <w:tcPr>
            <w:tcW w:type="dxa" w:w="1728"/>
          </w:tcPr>
          <w:p>
            <w:r>
              <w:rPr>
                <w:rFonts w:ascii="Calibri" w:hAnsi="Calibri"/>
                <w:sz w:val="22"/>
              </w:rPr>
              <w:t>~$12.8B (raised from $12.7B at Q4 2025)</w:t>
            </w:r>
          </w:p>
        </w:tc>
        <w:tc>
          <w:tcPr>
            <w:tcW w:type="dxa" w:w="1728"/>
          </w:tcPr>
          <w:p>
            <w:r>
              <w:rPr>
                <w:rFonts w:ascii="Calibri" w:hAnsi="Calibri"/>
                <w:sz w:val="22"/>
              </w:rPr>
              <w:t>—</w:t>
            </w:r>
          </w:p>
        </w:tc>
        <w:tc>
          <w:tcPr>
            <w:tcW w:type="dxa" w:w="1728"/>
          </w:tcPr>
          <w:p>
            <w:r>
              <w:rPr>
                <w:rFonts w:ascii="Calibri" w:hAnsi="Calibri"/>
                <w:sz w:val="22"/>
              </w:rPr>
              <w:t>$12.806B</w:t>
            </w:r>
          </w:p>
        </w:tc>
        <w:tc>
          <w:tcPr>
            <w:tcW w:type="dxa" w:w="1728"/>
          </w:tcPr>
          <w:p>
            <w:r>
              <w:rPr>
                <w:rFonts w:ascii="Calibri" w:hAnsi="Calibri"/>
                <w:sz w:val="22"/>
              </w:rPr>
              <w:t>Unchanged since Q1 raise; consensus tracking guidance</w:t>
            </w:r>
          </w:p>
        </w:tc>
      </w:tr>
      <w:tr>
        <w:tc>
          <w:tcPr>
            <w:tcW w:type="dxa" w:w="1728"/>
          </w:tcPr>
          <w:p>
            <w:r>
              <w:rPr>
                <w:rFonts w:ascii="Calibri" w:hAnsi="Calibri"/>
                <w:sz w:val="22"/>
              </w:rPr>
              <w:t>FY 2026 Non-GAAP EPS</w:t>
            </w:r>
          </w:p>
        </w:tc>
        <w:tc>
          <w:tcPr>
            <w:tcW w:type="dxa" w:w="1728"/>
          </w:tcPr>
          <w:p>
            <w:r>
              <w:rPr>
                <w:rFonts w:ascii="Calibri" w:hAnsi="Calibri"/>
                <w:sz w:val="22"/>
              </w:rPr>
              <w:t>$16.87–$16.99 (raised from $16.70–$16.85)</w:t>
            </w:r>
          </w:p>
        </w:tc>
        <w:tc>
          <w:tcPr>
            <w:tcW w:type="dxa" w:w="1728"/>
          </w:tcPr>
          <w:p>
            <w:r>
              <w:rPr>
                <w:rFonts w:ascii="Calibri" w:hAnsi="Calibri"/>
                <w:sz w:val="22"/>
              </w:rPr>
              <w:t>—</w:t>
            </w:r>
          </w:p>
        </w:tc>
        <w:tc>
          <w:tcPr>
            <w:tcW w:type="dxa" w:w="1728"/>
          </w:tcPr>
          <w:p>
            <w:r>
              <w:rPr>
                <w:rFonts w:ascii="Calibri" w:hAnsi="Calibri"/>
                <w:sz w:val="22"/>
              </w:rPr>
              <w:t>$16.934</w:t>
            </w:r>
          </w:p>
        </w:tc>
        <w:tc>
          <w:tcPr>
            <w:tcW w:type="dxa" w:w="1728"/>
          </w:tcPr>
          <w:p>
            <w:r>
              <w:rPr>
                <w:rFonts w:ascii="Calibri" w:hAnsi="Calibri"/>
                <w:sz w:val="22"/>
              </w:rPr>
              <w:t>Unchanged; consensus at midpoint of raised range</w:t>
            </w:r>
          </w:p>
        </w:tc>
      </w:tr>
      <w:tr>
        <w:tc>
          <w:tcPr>
            <w:tcW w:type="dxa" w:w="1728"/>
          </w:tcPr>
          <w:p>
            <w:r>
              <w:rPr>
                <w:rFonts w:ascii="Calibri" w:hAnsi="Calibri"/>
                <w:sz w:val="22"/>
              </w:rPr>
              <w:t>Silvus FY 2026 Revenue</w:t>
            </w:r>
          </w:p>
        </w:tc>
        <w:tc>
          <w:tcPr>
            <w:tcW w:type="dxa" w:w="1728"/>
          </w:tcPr>
          <w:p>
            <w:r>
              <w:rPr>
                <w:rFonts w:ascii="Calibri" w:hAnsi="Calibri"/>
                <w:sz w:val="22"/>
              </w:rPr>
              <w:t>$750M (raised from $675M at Q4 2025)</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Reaffirmed at BofA Conference June 3; tone incrementally bullish on international demand</w:t>
            </w:r>
          </w:p>
        </w:tc>
      </w:tr>
      <w:tr>
        <w:tc>
          <w:tcPr>
            <w:tcW w:type="dxa" w:w="1728"/>
          </w:tcPr>
          <w:p>
            <w:r>
              <w:rPr>
                <w:rFonts w:ascii="Calibri" w:hAnsi="Calibri"/>
                <w:sz w:val="22"/>
              </w:rPr>
              <w:t>FY 2026 Operating Cash Flow</w:t>
            </w:r>
          </w:p>
        </w:tc>
        <w:tc>
          <w:tcPr>
            <w:tcW w:type="dxa" w:w="1728"/>
          </w:tcPr>
          <w:p>
            <w:r>
              <w:rPr>
                <w:rFonts w:ascii="Calibri" w:hAnsi="Calibri"/>
                <w:sz w:val="22"/>
              </w:rPr>
              <w:t>~$3.0B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Q1 earnings; no change</w:t>
            </w:r>
          </w:p>
        </w:tc>
      </w:tr>
      <w:tr>
        <w:tc>
          <w:tcPr>
            <w:tcW w:type="dxa" w:w="1728"/>
          </w:tcPr>
          <w:p>
            <w:r>
              <w:rPr>
                <w:rFonts w:ascii="Calibri" w:hAnsi="Calibri"/>
                <w:sz w:val="22"/>
              </w:rPr>
              <w:t>FY 2026 Operating Margin Expansion</w:t>
            </w:r>
          </w:p>
        </w:tc>
        <w:tc>
          <w:tcPr>
            <w:tcW w:type="dxa" w:w="1728"/>
          </w:tcPr>
          <w:p>
            <w:r>
              <w:rPr>
                <w:rFonts w:ascii="Calibri" w:hAnsi="Calibri"/>
                <w:sz w:val="22"/>
              </w:rPr>
              <w:t>~100 bps YoY; expansion in both segments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BofA Conference June 3 despite memory cost and tariff headwinds</w:t>
            </w:r>
          </w:p>
        </w:tc>
      </w:tr>
      <w:tr>
        <w:tc>
          <w:tcPr>
            <w:tcW w:type="dxa" w:w="1728"/>
          </w:tcPr>
          <w:p>
            <w:r>
              <w:rPr>
                <w:rFonts w:ascii="Calibri" w:hAnsi="Calibri"/>
                <w:sz w:val="22"/>
              </w:rPr>
              <w:t>Tariff Headwinds (FY 2026)</w:t>
            </w:r>
          </w:p>
        </w:tc>
        <w:tc>
          <w:tcPr>
            <w:tcW w:type="dxa" w:w="1728"/>
          </w:tcPr>
          <w:p>
            <w:r>
              <w:rPr>
                <w:rFonts w:ascii="Calibri" w:hAnsi="Calibri"/>
                <w:sz w:val="22"/>
              </w:rPr>
              <w:t>$60M, primarily H1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IEEPA refund process being monitored; some refunds beginning to flow</w:t>
            </w:r>
          </w:p>
        </w:tc>
      </w:tr>
      <w:tr>
        <w:tc>
          <w:tcPr>
            <w:tcW w:type="dxa" w:w="1728"/>
          </w:tcPr>
          <w:p>
            <w:r>
              <w:rPr>
                <w:rFonts w:ascii="Calibri" w:hAnsi="Calibri"/>
                <w:sz w:val="22"/>
              </w:rPr>
              <w:t>Memory Cost Headwinds (FY 2026)</w:t>
            </w:r>
          </w:p>
        </w:tc>
        <w:tc>
          <w:tcPr>
            <w:tcW w:type="dxa" w:w="1728"/>
          </w:tcPr>
          <w:p>
            <w:r>
              <w:rPr>
                <w:rFonts w:ascii="Calibri" w:hAnsi="Calibri"/>
                <w:sz w:val="22"/>
              </w:rPr>
              <w:t>Direct memory spend to "more than double" (~$50M → ~$100M+)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BofA Conference; mitigation via pricing, inventory pre-buy, supplier partnerships</w:t>
            </w:r>
          </w:p>
        </w:tc>
      </w:tr>
    </w:tbl>
    <w:p>
      <w:r>
        <w:rPr>
          <w:rFonts w:ascii="Calibri" w:hAnsi="Calibri"/>
          <w:i/>
          <w:color w:val="525866"/>
          <w:sz w:val="22"/>
        </w:rPr>
        <w:t>Source: MSI Q1 2026 Earnings Call Transcript (May 7, 2026); BofA Global Technology Conference Transcript (June 3, 2026); JP Morgan TMC Conference Transcript (May 20,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consensus is tracking guidance almost exactly with no meaningful upward or downward drift. This is a low-revision setup, suggesting the Street is waiting for Q2 confirmation before moving numbers, which creates asymmetric upside if MSI beats and raises again.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(Q2 2026)</w:t>
            </w:r>
          </w:p>
        </w:tc>
        <w:tc>
          <w:tcPr>
            <w:tcW w:type="dxa" w:w="1080"/>
          </w:tcPr>
          <w:p>
            <w:r>
              <w:rPr>
                <w:rFonts w:ascii="Calibri" w:hAnsi="Calibri"/>
                <w:sz w:val="22"/>
              </w:rPr>
              <w:t>$3.001B</w:t>
            </w:r>
          </w:p>
        </w:tc>
        <w:tc>
          <w:tcPr>
            <w:tcW w:type="dxa" w:w="1080"/>
          </w:tcPr>
          <w:p>
            <w:r>
              <w:rPr>
                <w:rFonts w:ascii="Calibri" w:hAnsi="Calibri"/>
                <w:sz w:val="22"/>
              </w:rPr>
              <w:t>$3.001B</w:t>
            </w:r>
          </w:p>
        </w:tc>
        <w:tc>
          <w:tcPr>
            <w:tcW w:type="dxa" w:w="1080"/>
          </w:tcPr>
          <w:p>
            <w:r>
              <w:rPr>
                <w:rFonts w:ascii="Calibri" w:hAnsi="Calibri"/>
                <w:sz w:val="22"/>
              </w:rPr>
              <w:t>0.0%</w:t>
            </w:r>
          </w:p>
        </w:tc>
        <w:tc>
          <w:tcPr>
            <w:tcW w:type="dxa" w:w="1080"/>
          </w:tcPr>
          <w:p>
            <w:r>
              <w:rPr>
                <w:rFonts w:ascii="Calibri" w:hAnsi="Calibri"/>
                <w:sz w:val="22"/>
              </w:rPr>
              <w:t>~8.5% growth (~$3.00B)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w:t>
            </w:r>
          </w:p>
        </w:tc>
      </w:tr>
      <w:tr>
        <w:tc>
          <w:tcPr>
            <w:tcW w:type="dxa" w:w="1080"/>
          </w:tcPr>
          <w:p>
            <w:r>
              <w:rPr>
                <w:rFonts w:ascii="Calibri" w:hAnsi="Calibri"/>
                <w:sz w:val="22"/>
              </w:rPr>
              <w:t>Non-GAAP EPS (Q2 2026)</w:t>
            </w:r>
          </w:p>
        </w:tc>
        <w:tc>
          <w:tcPr>
            <w:tcW w:type="dxa" w:w="1080"/>
          </w:tcPr>
          <w:p>
            <w:r>
              <w:rPr>
                <w:rFonts w:ascii="Calibri" w:hAnsi="Calibri"/>
                <w:sz w:val="22"/>
              </w:rPr>
              <w:t>$3.848</w:t>
            </w:r>
          </w:p>
        </w:tc>
        <w:tc>
          <w:tcPr>
            <w:tcW w:type="dxa" w:w="1080"/>
          </w:tcPr>
          <w:p>
            <w:r>
              <w:rPr>
                <w:rFonts w:ascii="Calibri" w:hAnsi="Calibri"/>
                <w:sz w:val="22"/>
              </w:rPr>
              <w:t>$3.849</w:t>
            </w:r>
          </w:p>
        </w:tc>
        <w:tc>
          <w:tcPr>
            <w:tcW w:type="dxa" w:w="1080"/>
          </w:tcPr>
          <w:p>
            <w:r>
              <w:rPr>
                <w:rFonts w:ascii="Calibri" w:hAnsi="Calibri"/>
                <w:sz w:val="22"/>
              </w:rPr>
              <w:t>+0.0%</w:t>
            </w:r>
          </w:p>
        </w:tc>
        <w:tc>
          <w:tcPr>
            <w:tcW w:type="dxa" w:w="1080"/>
          </w:tcPr>
          <w:p>
            <w:r>
              <w:rPr>
                <w:rFonts w:ascii="Calibri" w:hAnsi="Calibri"/>
                <w:sz w:val="22"/>
              </w:rPr>
              <w:t>$3.82–$3.88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Net Sales (FY 2026)</w:t>
            </w:r>
          </w:p>
        </w:tc>
        <w:tc>
          <w:tcPr>
            <w:tcW w:type="dxa" w:w="1080"/>
          </w:tcPr>
          <w:p>
            <w:r>
              <w:rPr>
                <w:rFonts w:ascii="Calibri" w:hAnsi="Calibri"/>
                <w:sz w:val="22"/>
              </w:rPr>
              <w:t>$12.805B</w:t>
            </w:r>
          </w:p>
        </w:tc>
        <w:tc>
          <w:tcPr>
            <w:tcW w:type="dxa" w:w="1080"/>
          </w:tcPr>
          <w:p>
            <w:r>
              <w:rPr>
                <w:rFonts w:ascii="Calibri" w:hAnsi="Calibri"/>
                <w:sz w:val="22"/>
              </w:rPr>
              <w:t>$12.806B</w:t>
            </w:r>
          </w:p>
        </w:tc>
        <w:tc>
          <w:tcPr>
            <w:tcW w:type="dxa" w:w="1080"/>
          </w:tcPr>
          <w:p>
            <w:r>
              <w:rPr>
                <w:rFonts w:ascii="Calibri" w:hAnsi="Calibri"/>
                <w:sz w:val="22"/>
              </w:rPr>
              <w:t>+0.0%</w:t>
            </w:r>
          </w:p>
        </w:tc>
        <w:tc>
          <w:tcPr>
            <w:tcW w:type="dxa" w:w="1080"/>
          </w:tcPr>
          <w:p>
            <w:r>
              <w:rPr>
                <w:rFonts w:ascii="Calibri" w:hAnsi="Calibri"/>
                <w:sz w:val="22"/>
              </w:rPr>
              <w:t>~$12.8B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w:t>
            </w:r>
          </w:p>
        </w:tc>
      </w:tr>
      <w:tr>
        <w:tc>
          <w:tcPr>
            <w:tcW w:type="dxa" w:w="1080"/>
          </w:tcPr>
          <w:p>
            <w:r>
              <w:rPr>
                <w:rFonts w:ascii="Calibri" w:hAnsi="Calibri"/>
                <w:sz w:val="22"/>
              </w:rPr>
              <w:t>Non-GAAP EPS (FY 2026)</w:t>
            </w:r>
          </w:p>
        </w:tc>
        <w:tc>
          <w:tcPr>
            <w:tcW w:type="dxa" w:w="1080"/>
          </w:tcPr>
          <w:p>
            <w:r>
              <w:rPr>
                <w:rFonts w:ascii="Calibri" w:hAnsi="Calibri"/>
                <w:sz w:val="22"/>
              </w:rPr>
              <w:t>$16.926</w:t>
            </w:r>
          </w:p>
        </w:tc>
        <w:tc>
          <w:tcPr>
            <w:tcW w:type="dxa" w:w="1080"/>
          </w:tcPr>
          <w:p>
            <w:r>
              <w:rPr>
                <w:rFonts w:ascii="Calibri" w:hAnsi="Calibri"/>
                <w:sz w:val="22"/>
              </w:rPr>
              <w:t>$16.934</w:t>
            </w:r>
          </w:p>
        </w:tc>
        <w:tc>
          <w:tcPr>
            <w:tcW w:type="dxa" w:w="1080"/>
          </w:tcPr>
          <w:p>
            <w:r>
              <w:rPr>
                <w:rFonts w:ascii="Calibri" w:hAnsi="Calibri"/>
                <w:sz w:val="22"/>
              </w:rPr>
              <w:t>+0.0%</w:t>
            </w:r>
          </w:p>
        </w:tc>
        <w:tc>
          <w:tcPr>
            <w:tcW w:type="dxa" w:w="1080"/>
          </w:tcPr>
          <w:p>
            <w:r>
              <w:rPr>
                <w:rFonts w:ascii="Calibri" w:hAnsi="Calibri"/>
                <w:sz w:val="22"/>
              </w:rPr>
              <w:t>$16.87–$16.99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bl>
    <w:p>
      <w:r>
        <w:rPr>
          <w:rFonts w:ascii="Calibri" w:hAnsi="Calibri"/>
          <w:color w:val="525866"/>
          <w:sz w:val="22"/>
        </w:rPr>
        <w:t>Estimates have been essentially unchanged since the Q1 print, tracking guidance almost exactly. The lack of upward revision despite management's bullish tone at conferences (Silvus raised, buybacks accelerated, H2 re-acceleration thesis intact) suggests the Street is in a "show me" posture — a clean Q2 beat-and-raise could catalyze meaningful upward estimate revisions.</w:t>
      </w:r>
    </w:p>
    <w:p>
      <w:r>
        <w:rPr>
          <w:rFonts w:ascii="Calibri" w:hAnsi="Calibri"/>
          <w:i/>
          <w:color w:val="525866"/>
          <w:sz w:val="22"/>
        </w:rPr>
        <w:t>Source: Visible Alpha Consensus and Actuals Data (revision history May 15 – Aug 4, 2026).</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MSI has underperformed both XLI (+7%) and SPY (+5%) since the Q1 print, recovering from a sharp post-earnings sell-off but not yet recapturing the pre-print level. The underperformance is sentiment-driven (post-Q1 disappointment on stock reaction despite a beat) rather than fundamental, creating a favorable setup if Q2 confirms the H2 re-acceleration thesis.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MSI vs. XLI (Industrials ETF) vs. S&amp;P 500 — Indexed to 100 at Q1 2026 Earnings (May 7, 2026). MSI closed at $442.85 on Aug 5, 2026 (+2.2% since last earnings); XLI +7.1%; SPY +5.4%. Source: Yahoo Finance / Stock Price Data.</w:t>
      </w:r>
    </w:p>
    <w:p>
      <w:r>
        <w:rPr>
          <w:rFonts w:ascii="Calibri" w:hAnsi="Calibri"/>
          <w:b/>
          <w:color w:val="525866"/>
          <w:sz w:val="22"/>
        </w:rPr>
        <w:t>Key events since Q1 earnings (May 7, 2026):</w:t>
      </w:r>
    </w:p>
    <w:p>
      <w:pPr>
        <w:pStyle w:val="ListBullet"/>
        <w:ind w:left="360" w:hanging="360"/>
      </w:pPr>
      <w:r>
        <w:rPr>
          <w:rFonts w:ascii="Calibri" w:hAnsi="Calibri"/>
          <w:b/>
          <w:color w:val="525866"/>
          <w:sz w:val="22"/>
        </w:rPr>
        <w:t xml:space="preserve">May 7, 2026: </w:t>
      </w:r>
      <w:r>
        <w:rPr>
          <w:rFonts w:ascii="Calibri" w:hAnsi="Calibri"/>
          <w:color w:val="525866"/>
          <w:sz w:val="22"/>
        </w:rPr>
        <w:t>Q1 2026 earnings beat; stock fell ~11% the following day (May 8) despite the beat and raised guidance, driven by investor disappointment over LMR organic headwinds and memory cost escalation.</w:t>
      </w:r>
    </w:p>
    <w:p>
      <w:pPr>
        <w:pStyle w:val="ListBullet"/>
        <w:ind w:left="360" w:hanging="360"/>
      </w:pPr>
      <w:r>
        <w:rPr>
          <w:rFonts w:ascii="Calibri" w:hAnsi="Calibri"/>
          <w:b/>
          <w:color w:val="525866"/>
          <w:sz w:val="22"/>
        </w:rPr>
        <w:t xml:space="preserve">May 20, 2026: </w:t>
      </w:r>
      <w:r>
        <w:rPr>
          <w:rFonts w:ascii="Calibri" w:hAnsi="Calibri"/>
          <w:color w:val="525866"/>
          <w:sz w:val="22"/>
        </w:rPr>
        <w:t>JP Morgan TMC Conference — CFO reiterated H2 re-acceleration thesis; stock stabilized.</w:t>
      </w:r>
    </w:p>
    <w:p>
      <w:pPr>
        <w:pStyle w:val="ListBullet"/>
        <w:ind w:left="360" w:hanging="360"/>
      </w:pPr>
      <w:r>
        <w:rPr>
          <w:rFonts w:ascii="Calibri" w:hAnsi="Calibri"/>
          <w:b/>
          <w:color w:val="525866"/>
          <w:sz w:val="22"/>
        </w:rPr>
        <w:t xml:space="preserve">June 1, 2026: </w:t>
      </w:r>
      <w:r>
        <w:rPr>
          <w:rFonts w:ascii="Calibri" w:hAnsi="Calibri"/>
          <w:color w:val="525866"/>
          <w:sz w:val="22"/>
        </w:rPr>
        <w:t>D-Fend Solutions acquisition announced ($1.5B counter-drone); stock initially dipped then recovered.</w:t>
      </w:r>
    </w:p>
    <w:p>
      <w:pPr>
        <w:pStyle w:val="ListBullet"/>
        <w:ind w:left="360" w:hanging="360"/>
      </w:pPr>
      <w:r>
        <w:rPr>
          <w:rFonts w:ascii="Calibri" w:hAnsi="Calibri"/>
          <w:b/>
          <w:color w:val="525866"/>
          <w:sz w:val="22"/>
        </w:rPr>
        <w:t xml:space="preserve">June 3, 2026: </w:t>
      </w:r>
      <w:r>
        <w:rPr>
          <w:rFonts w:ascii="Calibri" w:hAnsi="Calibri"/>
          <w:color w:val="525866"/>
          <w:sz w:val="22"/>
        </w:rPr>
        <w:t>BofA Tech Conference — CFO disclosed $400M in buybacks QTD, raised Silvus to $750M; stock began recovery.</w:t>
      </w:r>
    </w:p>
    <w:p>
      <w:pPr>
        <w:pStyle w:val="ListBullet"/>
        <w:ind w:left="360" w:hanging="360"/>
      </w:pPr>
      <w:r>
        <w:rPr>
          <w:rFonts w:ascii="Calibri" w:hAnsi="Calibri"/>
          <w:b/>
          <w:color w:val="525866"/>
          <w:sz w:val="22"/>
        </w:rPr>
        <w:t xml:space="preserve">Late July 2026: </w:t>
      </w:r>
      <w:r>
        <w:rPr>
          <w:rFonts w:ascii="Calibri" w:hAnsi="Calibri"/>
          <w:color w:val="525866"/>
          <w:sz w:val="22"/>
        </w:rPr>
        <w:t>Stock rallied to ~$440 range ahead of Q2 earnings, approaching pre-Q1 levels.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D-Fend acquisition ($1.5B counter-drone) is the most significant post-Q1 development, adding a new TAM and reinforcing the drone strategy. Aggressive buybacks ($400M QTD as of June 3) signal management confidence. No negative pre-announcements or guidance cuts.</w:t>
      </w:r>
    </w:p>
    <w:p>
      <w:pPr>
        <w:pStyle w:val="ListBullet"/>
        <w:ind w:left="360" w:hanging="360"/>
      </w:pPr>
      <w:r>
        <w:rPr>
          <w:rFonts w:ascii="Calibri" w:hAnsi="Calibri"/>
          <w:b/>
          <w:color w:val="525866"/>
          <w:sz w:val="22"/>
        </w:rPr>
        <w:t xml:space="preserve">June 1, 2026 — D-Fend Solutions Acquisition Announced ($1.5B): </w:t>
      </w:r>
      <w:r>
        <w:rPr>
          <w:rFonts w:ascii="Calibri" w:hAnsi="Calibri"/>
          <w:color w:val="525866"/>
          <w:sz w:val="22"/>
        </w:rPr>
        <w:t xml:space="preserve">MSI announced the acquisition of D-Fend Solutions, a counter-drone (C-UAS) technology company, for approximately $1.5 billion. D-Fend's differentiating technology is RF cyber-takeover (EnforceAir), enabling selective interception and safe landing of rogue drones without disrupting authorized drones. D-Fend is expected to achieve ~$185M in calendar 2026 revenue (50%+ CAGR over 3 years), be slightly accretive in 2027, and address a counter-drone TAM management expects to triple to ~$3B by 2030. Expected to close Q4 2026 alongside Bell Canada. </w:t>
      </w:r>
      <w:r>
        <w:rPr>
          <w:rFonts w:ascii="Calibri" w:hAnsi="Calibri"/>
          <w:b/>
          <w:color w:val="525866"/>
          <w:sz w:val="22"/>
        </w:rPr>
        <w:t xml:space="preserve">Implication: </w:t>
      </w:r>
      <w:r>
        <w:rPr>
          <w:rFonts w:ascii="Calibri" w:hAnsi="Calibri"/>
          <w:color w:val="525866"/>
          <w:sz w:val="22"/>
        </w:rPr>
        <w:t>Adds a third pillar to MSI's drone strategy (Silvus for defense comms, Brink for DFR, D-Fend for C-UAS); combined D-Fend + Bell Canada closings add ~$1B of incremental debt, described as well within 2x EBITDA headroom.</w:t>
      </w:r>
    </w:p>
    <w:p>
      <w:pPr>
        <w:pStyle w:val="ListBullet"/>
        <w:ind w:left="360" w:hanging="360"/>
      </w:pPr>
      <w:r>
        <w:rPr>
          <w:rFonts w:ascii="Calibri" w:hAnsi="Calibri"/>
          <w:b/>
          <w:color w:val="525866"/>
          <w:sz w:val="22"/>
        </w:rPr>
        <w:t xml:space="preserve">June 3, 2026 — BofA Global Technology Conference (CFO Winkler): </w:t>
      </w:r>
      <w:r>
        <w:rPr>
          <w:rFonts w:ascii="Calibri" w:hAnsi="Calibri"/>
          <w:color w:val="525866"/>
          <w:sz w:val="22"/>
        </w:rPr>
        <w:t xml:space="preserve">CFO disclosed ~$400M in share buybacks executed quarter-to-date (through June 2), reaffirmed all FY 2026 guidance, raised Silvus to $750M, and confirmed 100 bps operating margin expansion target. </w:t>
      </w:r>
      <w:r>
        <w:rPr>
          <w:rFonts w:ascii="Calibri" w:hAnsi="Calibri"/>
          <w:b/>
          <w:color w:val="525866"/>
          <w:sz w:val="22"/>
        </w:rPr>
        <w:t xml:space="preserve">Implication: </w:t>
      </w:r>
      <w:r>
        <w:rPr>
          <w:rFonts w:ascii="Calibri" w:hAnsi="Calibri"/>
          <w:color w:val="525866"/>
          <w:sz w:val="22"/>
        </w:rPr>
        <w:t>Aggressive buyback pace signals management confidence in the balance sheet and stock valuation; $400M QTD vs. $118M in all of Q1 is a significant acceleration.</w:t>
      </w:r>
    </w:p>
    <w:p>
      <w:pPr>
        <w:pStyle w:val="ListBullet"/>
        <w:ind w:left="360" w:hanging="360"/>
      </w:pPr>
      <w:r>
        <w:rPr>
          <w:rFonts w:ascii="Calibri" w:hAnsi="Calibri"/>
          <w:b/>
          <w:color w:val="525866"/>
          <w:sz w:val="22"/>
        </w:rPr>
        <w:t xml:space="preserve">May 20, 2026 — JP Morgan TMC Conference: </w:t>
      </w:r>
      <w:r>
        <w:rPr>
          <w:rFonts w:ascii="Calibri" w:hAnsi="Calibri"/>
          <w:color w:val="525866"/>
          <w:sz w:val="22"/>
        </w:rPr>
        <w:t xml:space="preserve">Management reiterated Q2 as the "last of some very elevated comps" for LMR organic revenue, confirmed H2 organic growth re-acceleration to ~9–10%, and highlighted 4 consecutive quarters of double-digit order growth. </w:t>
      </w:r>
      <w:r>
        <w:rPr>
          <w:rFonts w:ascii="Calibri" w:hAnsi="Calibri"/>
          <w:b/>
          <w:color w:val="525866"/>
          <w:sz w:val="22"/>
        </w:rPr>
        <w:t xml:space="preserve">Implication: </w:t>
      </w:r>
      <w:r>
        <w:rPr>
          <w:rFonts w:ascii="Calibri" w:hAnsi="Calibri"/>
          <w:color w:val="525866"/>
          <w:sz w:val="22"/>
        </w:rPr>
        <w:t>Provides confidence in the H2 thesis but Q2 LMR organic revenue will still be negative YoY — the key question is whether orders and backlog confirm the inflection.</w:t>
      </w:r>
    </w:p>
    <w:p>
      <w:pPr>
        <w:pStyle w:val="ListBullet"/>
        <w:ind w:left="360" w:hanging="360"/>
      </w:pPr>
      <w:r>
        <w:rPr>
          <w:rFonts w:ascii="Calibri" w:hAnsi="Calibri"/>
          <w:b/>
          <w:color w:val="525866"/>
          <w:sz w:val="22"/>
        </w:rPr>
        <w:t xml:space="preserve">May 7, 2026 — Q1 2026 Earnings: Beat &amp; Raise (Baseline): </w:t>
      </w:r>
      <w:r>
        <w:rPr>
          <w:rFonts w:ascii="Calibri" w:hAnsi="Calibri"/>
          <w:color w:val="525866"/>
          <w:sz w:val="22"/>
        </w:rPr>
        <w:t xml:space="preserve">Revenue +7% YoY to $2.714B; non-GAAP EPS $3.37 (+6% YoY); record Q1 backlog $15.7B (+11% YoY); raised FY 2026 revenue to ~$12.8B and EPS to $16.87–$16.99. Acquired Exacom and Hyper ($90M combined) for command center AI capabilities. Announced Bell Canada LMR acquisition (~$500M, expected Q4 close). </w:t>
      </w:r>
      <w:r>
        <w:rPr>
          <w:rFonts w:ascii="Calibri" w:hAnsi="Calibri"/>
          <w:b/>
          <w:color w:val="525866"/>
          <w:sz w:val="22"/>
        </w:rPr>
        <w:t xml:space="preserve">Implication: </w:t>
      </w:r>
      <w:r>
        <w:rPr>
          <w:rFonts w:ascii="Calibri" w:hAnsi="Calibri"/>
          <w:color w:val="525866"/>
          <w:sz w:val="22"/>
        </w:rPr>
        <w:t>Sets the baseline; Q2 needs to confirm the H2 re-acceleration story.</w:t>
      </w:r>
    </w:p>
    <w:p>
      <w:pPr>
        <w:pStyle w:val="ListBullet"/>
        <w:ind w:left="360" w:hanging="360"/>
      </w:pPr>
      <w:r>
        <w:rPr>
          <w:rFonts w:ascii="Calibri" w:hAnsi="Calibri"/>
          <w:b/>
          <w:color w:val="525866"/>
          <w:sz w:val="22"/>
        </w:rPr>
        <w:t xml:space="preserve">Ongoing — OBBBA Federal Funding: </w:t>
      </w:r>
      <w:r>
        <w:rPr>
          <w:rFonts w:ascii="Calibri" w:hAnsi="Calibri"/>
          <w:color w:val="525866"/>
          <w:sz w:val="22"/>
        </w:rPr>
        <w:t xml:space="preserve">Management noted OBBBA funds (&gt;$150B across DoD and DHS) are beginning to flow, with a couple of federal opportunities already using OBBBA as a funding source. </w:t>
      </w:r>
      <w:r>
        <w:rPr>
          <w:rFonts w:ascii="Calibri" w:hAnsi="Calibri"/>
          <w:b/>
          <w:color w:val="525866"/>
          <w:sz w:val="22"/>
        </w:rPr>
        <w:t xml:space="preserve">Implication: </w:t>
      </w:r>
      <w:r>
        <w:rPr>
          <w:rFonts w:ascii="Calibri" w:hAnsi="Calibri"/>
          <w:color w:val="525866"/>
          <w:sz w:val="22"/>
        </w:rPr>
        <w:t>Potential incremental tailwind for federal LMR and border security solutions in H2 2026 and beyond.</w:t>
      </w:r>
    </w:p>
    <w:p>
      <w:pPr>
        <w:pStyle w:val="ListBullet"/>
        <w:ind w:left="360" w:hanging="360"/>
      </w:pPr>
      <w:r>
        <w:rPr>
          <w:rFonts w:ascii="Calibri" w:hAnsi="Calibri"/>
          <w:b/>
          <w:color w:val="525866"/>
          <w:sz w:val="22"/>
        </w:rPr>
        <w:t xml:space="preserve">Ongoing — Axon Competitive Entry into 911 Call Centers: </w:t>
      </w:r>
      <w:r>
        <w:rPr>
          <w:rFonts w:ascii="Calibri" w:hAnsi="Calibri"/>
          <w:color w:val="525866"/>
          <w:sz w:val="22"/>
        </w:rPr>
        <w:t xml:space="preserve">Axon's entry into the 911 call-center market was flagged as an emerging competitive development on the Q1 call. MSI noted no material change in competitive landscape but acknowledged Axon's ~80% market share in body-worn cameras in North American tier-one agencies. </w:t>
      </w:r>
      <w:r>
        <w:rPr>
          <w:rFonts w:ascii="Calibri" w:hAnsi="Calibri"/>
          <w:b/>
          <w:color w:val="525866"/>
          <w:sz w:val="22"/>
        </w:rPr>
        <w:t xml:space="preserve">Implication: </w:t>
      </w:r>
      <w:r>
        <w:rPr>
          <w:rFonts w:ascii="Calibri" w:hAnsi="Calibri"/>
          <w:color w:val="525866"/>
          <w:sz w:val="22"/>
        </w:rPr>
        <w:t>Watch for any update on SVX competitive wins/losses and whether Axon's 911 push is gaining traction.</w:t>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Peer commentary from the last 60 days is broadly constructive for MSI's Q2 setup: Zebra Technologies (ZBRA) reported record Q2 results with broad-based enterprise demand and confirmed it is successfully navigating memory cost headwinds — a direct read-through for MSI's supply chain and margin narrative. L3Harris (LHX) reported strong defense communications demand with 20%+ international growth and a 1.2x book-to-bill, validating the Silvus demand thesis. General Dynamics (GD) reported a 1.4x book-to-bill with record defense backlog, reinforcing the government spending environment.</w:t>
      </w:r>
    </w:p>
    <w:p>
      <w:r>
        <w:rPr>
          <w:rFonts w:ascii="Calibri" w:hAnsi="Calibri"/>
          <w:b/>
          <w:color w:val="525866"/>
          <w:sz w:val="22"/>
        </w:rPr>
        <w:t xml:space="preserve">Methodology: </w:t>
      </w:r>
      <w:r>
        <w:rPr>
          <w:rFonts w:ascii="Calibri" w:hAnsi="Calibri"/>
          <w:i/>
          <w:color w:val="525866"/>
          <w:sz w:val="22"/>
        </w:rPr>
        <w:t>Only commentary from the last 60 days (June 5 – August 4, 2026) that addresses the current Q2 2026 reporting period, forward outlook, or current-quarter trends is included below. Prior-quarter results commentary (e.g., ZBRA's Q1 2026 results) is excluded. Each read-through is flagged with relevance and limitations.</w:t>
      </w:r>
    </w:p>
    <w:p>
      <w:pPr>
        <w:pStyle w:val="Heading3"/>
      </w:pPr>
      <w:r>
        <w:rPr>
          <w:rFonts w:ascii="Calibri" w:hAnsi="Calibri"/>
          <w:b/>
          <w:color w:val="3B4259"/>
          <w:sz w:val="24"/>
        </w:rPr>
        <w:t>A. Zebra Technologies (ZBRA) — Q2 2026 Earnings (Reported August 4, 2026)</w:t>
      </w:r>
    </w:p>
    <w:p>
      <w:r>
        <w:rPr>
          <w:rFonts w:ascii="Calibri" w:hAnsi="Calibri"/>
          <w:b/>
          <w:color w:val="525866"/>
          <w:sz w:val="22"/>
        </w:rPr>
        <w:t xml:space="preserve">Reporting Period: </w:t>
      </w:r>
      <w:r>
        <w:rPr>
          <w:rFonts w:ascii="Calibri" w:hAnsi="Calibri"/>
          <w:color w:val="525866"/>
          <w:sz w:val="22"/>
        </w:rPr>
        <w:t>Quarter ended July 4, 2026 (ZBRA's fiscal Q2 2026). Reported same day as this preview.</w:t>
      </w:r>
    </w:p>
    <w:p>
      <w:r>
        <w:rPr>
          <w:rFonts w:ascii="Calibri" w:hAnsi="Calibri"/>
          <w:color w:val="525866"/>
          <w:sz w:val="22"/>
        </w:rPr>
        <w:t>Relevant Commentary (Current Quarter / Forward Outlook):</w:t>
      </w:r>
    </w:p>
    <w:p>
      <w:pPr>
        <w:pStyle w:val="ListBullet"/>
        <w:ind w:left="360" w:hanging="360"/>
      </w:pPr>
      <w:r>
        <w:rPr>
          <w:rFonts w:ascii="Calibri" w:hAnsi="Calibri"/>
          <w:b/>
          <w:color w:val="525866"/>
          <w:sz w:val="22"/>
        </w:rPr>
        <w:t xml:space="preserve">Demand: </w:t>
      </w:r>
      <w:r>
        <w:rPr>
          <w:rFonts w:ascii="Calibri" w:hAnsi="Calibri"/>
          <w:color w:val="525866"/>
          <w:sz w:val="22"/>
        </w:rPr>
        <w:t>"Record results with broad-based growth across segments and regions" with "double-digit growth in retail, manufacturing, and healthcare end markets." CEO Bill Burns: "Strong demand momentum and progress on productivity and memory supply supports our significantly increased outlook for the full year."</w:t>
      </w:r>
    </w:p>
    <w:p>
      <w:pPr>
        <w:pStyle w:val="ListBullet"/>
        <w:ind w:left="360" w:hanging="360"/>
      </w:pPr>
      <w:r>
        <w:rPr>
          <w:rFonts w:ascii="Calibri" w:hAnsi="Calibri"/>
          <w:b/>
          <w:color w:val="525866"/>
          <w:sz w:val="22"/>
        </w:rPr>
        <w:t xml:space="preserve">Memory Costs: </w:t>
      </w:r>
      <w:r>
        <w:rPr>
          <w:rFonts w:ascii="Calibri" w:hAnsi="Calibri"/>
          <w:color w:val="525866"/>
          <w:sz w:val="22"/>
        </w:rPr>
        <w:t>ZBRA "fully mitigated a $20 million increase in memory costs through strong price realization, gross margin outperformance." Full-year guide reflects "full mitigation of the approximately $120 million memory cost headwind" via targeted price increases and direct memory initiatives. Memory costs expected to increase from Q2 to Q3, but ZBRA has "line of sight to what we need to support our outlook."</w:t>
      </w:r>
    </w:p>
    <w:p>
      <w:pPr>
        <w:pStyle w:val="ListBullet"/>
        <w:ind w:left="360" w:hanging="360"/>
      </w:pPr>
      <w:r>
        <w:rPr>
          <w:rFonts w:ascii="Calibri" w:hAnsi="Calibri"/>
          <w:b/>
          <w:color w:val="525866"/>
          <w:sz w:val="22"/>
        </w:rPr>
        <w:t xml:space="preserve">Supply Chain: </w:t>
      </w:r>
      <w:r>
        <w:rPr>
          <w:rFonts w:ascii="Calibri" w:hAnsi="Calibri"/>
          <w:color w:val="525866"/>
          <w:sz w:val="22"/>
        </w:rPr>
        <w:t>"Suppliers are delivering on their commitments, enabling our strong sales growth." Proactive measures include direct supplier co-planning, alternative sourcing, and transitions to higher-density memory components where capacity is expected to increase into 2027.</w:t>
      </w:r>
    </w:p>
    <w:p>
      <w:pPr>
        <w:pStyle w:val="ListBullet"/>
        <w:ind w:left="360" w:hanging="360"/>
      </w:pPr>
      <w:r>
        <w:rPr>
          <w:rFonts w:ascii="Calibri" w:hAnsi="Calibri"/>
          <w:b/>
          <w:color w:val="525866"/>
          <w:sz w:val="22"/>
        </w:rPr>
        <w:t xml:space="preserve">Q3 2026 Guidance: </w:t>
      </w:r>
      <w:r>
        <w:rPr>
          <w:rFonts w:ascii="Calibri" w:hAnsi="Calibri"/>
          <w:color w:val="525866"/>
          <w:sz w:val="22"/>
        </w:rPr>
        <w:t>Sales growth of 17–20% (includes ~10.5 pts from acquisitions/FX; ~8% organic at midpoint). Adjusted EBITDA margin ~22%. Non-GAAP EPS $4.70–$4.90.</w:t>
      </w:r>
    </w:p>
    <w:p>
      <w:pPr>
        <w:pStyle w:val="ListBullet"/>
        <w:ind w:left="360" w:hanging="360"/>
      </w:pPr>
      <w:r>
        <w:rPr>
          <w:rFonts w:ascii="Calibri" w:hAnsi="Calibri"/>
          <w:b/>
          <w:color w:val="525866"/>
          <w:sz w:val="22"/>
        </w:rPr>
        <w:t xml:space="preserve">Full-Year 2026 Guidance Raised: </w:t>
      </w:r>
      <w:r>
        <w:rPr>
          <w:rFonts w:ascii="Calibri" w:hAnsi="Calibri"/>
          <w:color w:val="525866"/>
          <w:sz w:val="22"/>
        </w:rPr>
        <w:t>Sales growth 14–16% (includes ~8 pts from acquisitions/FX). Adjusted EBITDA margin 23.5–24.0%. Non-GAAP EPS $20.75–$21.25. Free cash flow &gt;$1B.</w:t>
      </w:r>
    </w:p>
    <w:p>
      <w:r>
        <w:rPr>
          <w:rFonts w:ascii="Calibri" w:hAnsi="Calibri"/>
          <w:b/>
          <w:color w:val="525866"/>
          <w:sz w:val="22"/>
        </w:rPr>
        <w:t>Read-Through to MSI:</w:t>
      </w:r>
    </w:p>
    <w:p>
      <w:pPr>
        <w:pStyle w:val="ListBullet"/>
        <w:ind w:left="360" w:hanging="360"/>
      </w:pPr>
      <w:r>
        <w:rPr>
          <w:rFonts w:ascii="Calibri" w:hAnsi="Calibri"/>
          <w:b/>
          <w:color w:val="525866"/>
          <w:sz w:val="22"/>
        </w:rPr>
        <w:t xml:space="preserve">Positive — Memory Cost Mitigation: </w:t>
      </w:r>
      <w:r>
        <w:rPr>
          <w:rFonts w:ascii="Calibri" w:hAnsi="Calibri"/>
          <w:color w:val="525866"/>
          <w:sz w:val="22"/>
        </w:rPr>
        <w:t>ZBRA's successful mitigation of $20M in memory cost increases via pricing and supplier management is a direct positive read-through for MSI, which faces a similar ~$50M memory cost headwind in 2026. If ZBRA can fully offset its headwind, MSI's mitigation strategy (pricing on video recorders, inventory pre-buy, supplier partnerships) is more credible.</w:t>
      </w:r>
    </w:p>
    <w:p>
      <w:pPr>
        <w:pStyle w:val="ListBullet"/>
        <w:ind w:left="360" w:hanging="360"/>
      </w:pPr>
      <w:r>
        <w:rPr>
          <w:rFonts w:ascii="Calibri" w:hAnsi="Calibri"/>
          <w:b/>
          <w:color w:val="525866"/>
          <w:sz w:val="22"/>
        </w:rPr>
        <w:t xml:space="preserve">Positive — Enterprise Demand: </w:t>
      </w:r>
      <w:r>
        <w:rPr>
          <w:rFonts w:ascii="Calibri" w:hAnsi="Calibri"/>
          <w:color w:val="525866"/>
          <w:sz w:val="22"/>
        </w:rPr>
        <w:t>Broad-based demand across enterprise verticals (retail, manufacturing, healthcare) is consistent with MSI's video security and command center growth thesis, particularly for the Alta cloud platform expansion into new verticals.</w:t>
      </w:r>
    </w:p>
    <w:p>
      <w:pPr>
        <w:pStyle w:val="ListBullet"/>
        <w:ind w:left="360" w:hanging="360"/>
      </w:pPr>
      <w:r>
        <w:rPr>
          <w:rFonts w:ascii="Calibri" w:hAnsi="Calibri"/>
          <w:b/>
          <w:color w:val="525866"/>
          <w:sz w:val="22"/>
        </w:rPr>
        <w:t xml:space="preserve">Positive — Supply Chain Stability: </w:t>
      </w:r>
      <w:r>
        <w:rPr>
          <w:rFonts w:ascii="Calibri" w:hAnsi="Calibri"/>
          <w:color w:val="525866"/>
          <w:sz w:val="22"/>
        </w:rPr>
        <w:t>Supplier delivery commitments being met and capacity increasing into 2027 for LPDDR5 memory is a positive signal for MSI's supply chain.</w:t>
      </w:r>
    </w:p>
    <w:p>
      <w:pPr>
        <w:pStyle w:val="ListBullet"/>
        <w:ind w:left="360" w:hanging="360"/>
      </w:pPr>
      <w:r>
        <w:rPr>
          <w:rFonts w:ascii="Calibri" w:hAnsi="Calibri"/>
          <w:b/>
          <w:color w:val="525866"/>
          <w:sz w:val="22"/>
        </w:rPr>
        <w:t xml:space="preserve">Limitations: </w:t>
      </w:r>
      <w:r>
        <w:rPr>
          <w:rFonts w:ascii="Calibri" w:hAnsi="Calibri"/>
          <w:color w:val="525866"/>
          <w:sz w:val="22"/>
        </w:rPr>
        <w:t>ZBRA's core business (barcode scanners, mobile computers, RFID) is distinct from MSI's LMR and public safety focus. ZBRA's $73M IEEPA tariff recovery boosted its Q2 margins significantly — this is ZBRA-specific and does not directly apply to MSI. ZBRA's inorganic growth (~10.5 pts in Q3) inflates headline growth rates.</w:t>
      </w:r>
    </w:p>
    <w:p>
      <w:pPr>
        <w:pStyle w:val="Heading3"/>
      </w:pPr>
      <w:r>
        <w:rPr>
          <w:rFonts w:ascii="Calibri" w:hAnsi="Calibri"/>
          <w:b/>
          <w:color w:val="3B4259"/>
          <w:sz w:val="24"/>
        </w:rPr>
        <w:t>B. L3Harris Technologies (LHX) — Q2 2026 Earnings (Reported July 29, 2026)</w:t>
      </w:r>
    </w:p>
    <w:p>
      <w:r>
        <w:rPr>
          <w:rFonts w:ascii="Calibri" w:hAnsi="Calibri"/>
          <w:b/>
          <w:color w:val="525866"/>
          <w:sz w:val="22"/>
        </w:rPr>
        <w:t xml:space="preserve">Reporting Period: </w:t>
      </w:r>
      <w:r>
        <w:rPr>
          <w:rFonts w:ascii="Calibri" w:hAnsi="Calibri"/>
          <w:color w:val="525866"/>
          <w:sz w:val="22"/>
        </w:rPr>
        <w:t>Quarter ended June 27, 2026 (LHX's fiscal Q2 2026). Reported July 29, 2026.</w:t>
      </w:r>
    </w:p>
    <w:p>
      <w:r>
        <w:rPr>
          <w:rFonts w:ascii="Calibri" w:hAnsi="Calibri"/>
          <w:color w:val="525866"/>
          <w:sz w:val="22"/>
        </w:rPr>
        <w:t>Relevant Commentary (Current Quarter / Forward Outlook):</w:t>
      </w:r>
    </w:p>
    <w:p>
      <w:pPr>
        <w:pStyle w:val="ListBullet"/>
        <w:ind w:left="360" w:hanging="360"/>
      </w:pPr>
      <w:r>
        <w:rPr>
          <w:rFonts w:ascii="Calibri" w:hAnsi="Calibri"/>
          <w:b/>
          <w:color w:val="525866"/>
          <w:sz w:val="22"/>
        </w:rPr>
        <w:t xml:space="preserve">Defense Communications Demand: </w:t>
      </w:r>
      <w:r>
        <w:rPr>
          <w:rFonts w:ascii="Calibri" w:hAnsi="Calibri"/>
          <w:color w:val="525866"/>
          <w:sz w:val="22"/>
        </w:rPr>
        <w:t>Communications &amp; Spectrum Dominance segment revenue +4% YoY to $1.943B, driven by "increased international deliveries for software-defined resilient communications equipment" and "higher electronic warfare and data links." Operating margin expanded 230 bps to 26.9%, "driven by stronger international revenue." Management expects "revenue to ramp up in the second half due to strong demand for our smart software defined radios and vampire counter UAS system."</w:t>
      </w:r>
    </w:p>
    <w:p>
      <w:pPr>
        <w:pStyle w:val="ListBullet"/>
        <w:ind w:left="360" w:hanging="360"/>
      </w:pPr>
      <w:r>
        <w:rPr>
          <w:rFonts w:ascii="Calibri" w:hAnsi="Calibri"/>
          <w:b/>
          <w:color w:val="525866"/>
          <w:sz w:val="22"/>
        </w:rPr>
        <w:t xml:space="preserve">International Defense Demand: </w:t>
      </w:r>
      <w:r>
        <w:rPr>
          <w:rFonts w:ascii="Calibri" w:hAnsi="Calibri"/>
          <w:color w:val="525866"/>
          <w:sz w:val="22"/>
        </w:rPr>
        <w:t>International sales +20%+ YoY, increasing to 23% of total revenue. LHX plans to "continue to book orders internationally with our smart software defined radios as we upgrade capability and interoperability." Targeted $500M of new counter-UAS orders internationally.</w:t>
      </w:r>
    </w:p>
    <w:p>
      <w:pPr>
        <w:pStyle w:val="ListBullet"/>
        <w:ind w:left="360" w:hanging="360"/>
      </w:pPr>
      <w:r>
        <w:rPr>
          <w:rFonts w:ascii="Calibri" w:hAnsi="Calibri"/>
          <w:b/>
          <w:color w:val="525866"/>
          <w:sz w:val="22"/>
        </w:rPr>
        <w:t xml:space="preserve">Counter-UAS (C-UAS): </w:t>
      </w:r>
      <w:r>
        <w:rPr>
          <w:rFonts w:ascii="Calibri" w:hAnsi="Calibri"/>
          <w:color w:val="525866"/>
          <w:sz w:val="22"/>
        </w:rPr>
        <w:t>LHX's "Rape Shield" counter-UAS jamming solution (software loaded onto existing smart radios) received a $100M U.S. Army contract in Q2. Management described it as an "emerging, trusted disruptor success story." LHX expects C-UAS capabilities to "contribute to licensing revenue in the years ahead."</w:t>
      </w:r>
    </w:p>
    <w:p>
      <w:pPr>
        <w:pStyle w:val="ListBullet"/>
        <w:ind w:left="360" w:hanging="360"/>
      </w:pPr>
      <w:r>
        <w:rPr>
          <w:rFonts w:ascii="Calibri" w:hAnsi="Calibri"/>
          <w:b/>
          <w:color w:val="525866"/>
          <w:sz w:val="22"/>
        </w:rPr>
        <w:t xml:space="preserve">Government Funding / Order Momentum: </w:t>
      </w:r>
      <w:r>
        <w:rPr>
          <w:rFonts w:ascii="Calibri" w:hAnsi="Calibri"/>
          <w:color w:val="525866"/>
          <w:sz w:val="22"/>
        </w:rPr>
        <w:t>Orders of $7.3B, book-to-bill of 1.2x (trailing 12-month 1.3x). Backlog increased &gt;$1B to a record $42B. Management: "The conversations we're having with the Pentagon are no longer about whether we can deliver, but how many can we produce and how fast we can go." Actively negotiating &gt;$20B in new contracts.</w:t>
      </w:r>
    </w:p>
    <w:p>
      <w:pPr>
        <w:pStyle w:val="ListBullet"/>
        <w:ind w:left="360" w:hanging="360"/>
      </w:pPr>
      <w:r>
        <w:rPr>
          <w:rFonts w:ascii="Calibri" w:hAnsi="Calibri"/>
          <w:b/>
          <w:color w:val="525866"/>
          <w:sz w:val="22"/>
        </w:rPr>
        <w:t xml:space="preserve">FY 2026 Guidance Raised: </w:t>
      </w:r>
      <w:r>
        <w:rPr>
          <w:rFonts w:ascii="Calibri" w:hAnsi="Calibri"/>
          <w:color w:val="525866"/>
          <w:sz w:val="22"/>
        </w:rPr>
        <w:t>Revenue raised to $23.2–$23.7B (organic growth 8–10%), up $200M at both ends. Free cash flow reaffirmed at $3B.</w:t>
      </w:r>
    </w:p>
    <w:p>
      <w:r>
        <w:rPr>
          <w:rFonts w:ascii="Calibri" w:hAnsi="Calibri"/>
          <w:b/>
          <w:color w:val="525866"/>
          <w:sz w:val="22"/>
        </w:rPr>
        <w:t>Read-Through to MSI:</w:t>
      </w:r>
    </w:p>
    <w:p>
      <w:pPr>
        <w:pStyle w:val="ListBullet"/>
        <w:ind w:left="360" w:hanging="360"/>
      </w:pPr>
      <w:r>
        <w:rPr>
          <w:rFonts w:ascii="Calibri" w:hAnsi="Calibri"/>
          <w:b/>
          <w:color w:val="525866"/>
          <w:sz w:val="22"/>
        </w:rPr>
        <w:t xml:space="preserve">Positive — Defense Communications Demand: </w:t>
      </w:r>
      <w:r>
        <w:rPr>
          <w:rFonts w:ascii="Calibri" w:hAnsi="Calibri"/>
          <w:color w:val="525866"/>
          <w:sz w:val="22"/>
        </w:rPr>
        <w:t>LHX's strong performance in software-defined resilient communications and 20%+ international growth directly validates the Silvus demand thesis. MSI's Silvus business (MANET radios for defense/unmanned systems) operates in the same international defense communications market. LHX's H2 revenue ramp guidance for communications is a positive leading indicator.</w:t>
      </w:r>
    </w:p>
    <w:p>
      <w:pPr>
        <w:pStyle w:val="ListBullet"/>
        <w:ind w:left="360" w:hanging="360"/>
      </w:pPr>
      <w:r>
        <w:rPr>
          <w:rFonts w:ascii="Calibri" w:hAnsi="Calibri"/>
          <w:b/>
          <w:color w:val="525866"/>
          <w:sz w:val="22"/>
        </w:rPr>
        <w:t xml:space="preserve">Positive — C-UAS Market Validation: </w:t>
      </w:r>
      <w:r>
        <w:rPr>
          <w:rFonts w:ascii="Calibri" w:hAnsi="Calibri"/>
          <w:color w:val="525866"/>
          <w:sz w:val="22"/>
        </w:rPr>
        <w:t>LHX's $100M Army C-UAS contract and targeted $500M of international C-UAS orders validates the market MSI is entering with the D-Fend acquisition. The C-UAS TAM is clearly real and growing.</w:t>
      </w:r>
    </w:p>
    <w:p>
      <w:pPr>
        <w:pStyle w:val="ListBullet"/>
        <w:ind w:left="360" w:hanging="360"/>
      </w:pPr>
      <w:r>
        <w:rPr>
          <w:rFonts w:ascii="Calibri" w:hAnsi="Calibri"/>
          <w:b/>
          <w:color w:val="525866"/>
          <w:sz w:val="22"/>
        </w:rPr>
        <w:t xml:space="preserve">Positive — Government Funding Environment: </w:t>
      </w:r>
      <w:r>
        <w:rPr>
          <w:rFonts w:ascii="Calibri" w:hAnsi="Calibri"/>
          <w:color w:val="525866"/>
          <w:sz w:val="22"/>
        </w:rPr>
        <w:t>Record LHX backlog, 1.2x book-to-bill, and Pentagon urgency signals a robust government spending environment that benefits MSI's federal LMR and public safety business.</w:t>
      </w:r>
    </w:p>
    <w:p>
      <w:pPr>
        <w:pStyle w:val="ListBullet"/>
        <w:ind w:left="360" w:hanging="360"/>
      </w:pPr>
      <w:r>
        <w:rPr>
          <w:rFonts w:ascii="Calibri" w:hAnsi="Calibri"/>
          <w:b/>
          <w:color w:val="525866"/>
          <w:sz w:val="22"/>
        </w:rPr>
        <w:t xml:space="preserve">Limitations: </w:t>
      </w:r>
      <w:r>
        <w:rPr>
          <w:rFonts w:ascii="Calibri" w:hAnsi="Calibri"/>
          <w:color w:val="525866"/>
          <w:sz w:val="22"/>
        </w:rPr>
        <w:t>LHX is a large prime contractor with a diversified portfolio; its specific financial metrics are not directly transferable to MSI. LHX's C-UAS approach (software jamming on existing radios) is different from D-Fend's RF cyber-takeover technology — they are complementary rather than directly comparable. LHX's missile business dominates its growth narrative and is not relevant to MSI.</w:t>
      </w:r>
    </w:p>
    <w:p>
      <w:pPr>
        <w:pStyle w:val="Heading3"/>
      </w:pPr>
      <w:r>
        <w:rPr>
          <w:rFonts w:ascii="Calibri" w:hAnsi="Calibri"/>
          <w:b/>
          <w:color w:val="3B4259"/>
          <w:sz w:val="24"/>
        </w:rPr>
        <w:t>C. General Dynamics (GD) — Q2 2026 Earnings (Reported July 29, 2026)</w:t>
      </w:r>
    </w:p>
    <w:p>
      <w:r>
        <w:rPr>
          <w:rFonts w:ascii="Calibri" w:hAnsi="Calibri"/>
          <w:b/>
          <w:color w:val="525866"/>
          <w:sz w:val="22"/>
        </w:rPr>
        <w:t xml:space="preserve">Reporting Period: </w:t>
      </w:r>
      <w:r>
        <w:rPr>
          <w:rFonts w:ascii="Calibri" w:hAnsi="Calibri"/>
          <w:color w:val="525866"/>
          <w:sz w:val="22"/>
        </w:rPr>
        <w:t>Quarter ended June 30, 2026 (GD's fiscal Q2 2026). Reported July 29, 2026.</w:t>
      </w:r>
    </w:p>
    <w:p>
      <w:r>
        <w:rPr>
          <w:rFonts w:ascii="Calibri" w:hAnsi="Calibri"/>
          <w:color w:val="525866"/>
          <w:sz w:val="22"/>
        </w:rPr>
        <w:t>Relevant Commentary (Current Quarter / Forward Outlook):</w:t>
      </w:r>
    </w:p>
    <w:p>
      <w:pPr>
        <w:pStyle w:val="ListBullet"/>
        <w:ind w:left="360" w:hanging="360"/>
      </w:pPr>
      <w:r>
        <w:rPr>
          <w:rFonts w:ascii="Calibri" w:hAnsi="Calibri"/>
          <w:b/>
          <w:color w:val="525866"/>
          <w:sz w:val="22"/>
        </w:rPr>
        <w:t xml:space="preserve">Government Funding / Order Momentum: </w:t>
      </w:r>
      <w:r>
        <w:rPr>
          <w:rFonts w:ascii="Calibri" w:hAnsi="Calibri"/>
          <w:color w:val="525866"/>
          <w:sz w:val="22"/>
        </w:rPr>
        <w:t>Company-wide book-to-bill of 1.4x with "strong order activity in all segments." Defense segment orders of $14.7B. Total backlog of $136.5B. CEO Phebe Novakovic: "We are well positioned to support our customers' needs and are continuing to make significant investments to increase output to meet strong and growing demand."</w:t>
      </w:r>
    </w:p>
    <w:p>
      <w:pPr>
        <w:pStyle w:val="ListBullet"/>
        <w:ind w:left="360" w:hanging="360"/>
      </w:pPr>
      <w:r>
        <w:rPr>
          <w:rFonts w:ascii="Calibri" w:hAnsi="Calibri"/>
          <w:b/>
          <w:color w:val="525866"/>
          <w:sz w:val="22"/>
        </w:rPr>
        <w:t xml:space="preserve">Technologies Segment: </w:t>
      </w:r>
      <w:r>
        <w:rPr>
          <w:rFonts w:ascii="Calibri" w:hAnsi="Calibri"/>
          <w:color w:val="525866"/>
          <w:sz w:val="22"/>
        </w:rPr>
        <w:t>Revenue +4.1% YoY to $3.619B. Total backlog in Technologies grew to $17.989B (from $14.230B in Q2 2025), with estimated potential contract value of $30.945B.</w:t>
      </w:r>
    </w:p>
    <w:p>
      <w:r>
        <w:rPr>
          <w:rFonts w:ascii="Calibri" w:hAnsi="Calibri"/>
          <w:b/>
          <w:color w:val="525866"/>
          <w:sz w:val="22"/>
        </w:rPr>
        <w:t>Read-Through to MSI:</w:t>
      </w:r>
    </w:p>
    <w:p>
      <w:pPr>
        <w:pStyle w:val="ListBullet"/>
        <w:ind w:left="360" w:hanging="360"/>
      </w:pPr>
      <w:r>
        <w:rPr>
          <w:rFonts w:ascii="Calibri" w:hAnsi="Calibri"/>
          <w:b/>
          <w:color w:val="525866"/>
          <w:sz w:val="22"/>
        </w:rPr>
        <w:t xml:space="preserve">Positive — Government Spending Environment: </w:t>
      </w:r>
      <w:r>
        <w:rPr>
          <w:rFonts w:ascii="Calibri" w:hAnsi="Calibri"/>
          <w:color w:val="525866"/>
          <w:sz w:val="22"/>
        </w:rPr>
        <w:t>GD's 1.4x book-to-bill and record backlog confirm a robust and growing government defense spending environment, which is a positive backdrop for MSI's federal LMR, Silvus, and D-Fend businesses.</w:t>
      </w:r>
    </w:p>
    <w:p>
      <w:pPr>
        <w:pStyle w:val="ListBullet"/>
        <w:ind w:left="360" w:hanging="360"/>
      </w:pPr>
      <w:r>
        <w:rPr>
          <w:rFonts w:ascii="Calibri" w:hAnsi="Calibri"/>
          <w:b/>
          <w:color w:val="525866"/>
          <w:sz w:val="22"/>
        </w:rPr>
        <w:t xml:space="preserve">Positive — Technology Backlog Growth: </w:t>
      </w:r>
      <w:r>
        <w:rPr>
          <w:rFonts w:ascii="Calibri" w:hAnsi="Calibri"/>
          <w:color w:val="525866"/>
          <w:sz w:val="22"/>
        </w:rPr>
        <w:t>GD's Technologies segment backlog growing from $14.2B to $18.0B YoY signals sustained government investment in defense technology, consistent with MSI's order momentum.</w:t>
      </w:r>
    </w:p>
    <w:p>
      <w:pPr>
        <w:pStyle w:val="ListBullet"/>
        <w:ind w:left="360" w:hanging="360"/>
      </w:pPr>
      <w:r>
        <w:rPr>
          <w:rFonts w:ascii="Calibri" w:hAnsi="Calibri"/>
          <w:b/>
          <w:color w:val="525866"/>
          <w:sz w:val="22"/>
        </w:rPr>
        <w:t xml:space="preserve">Limitations: </w:t>
      </w:r>
      <w:r>
        <w:rPr>
          <w:rFonts w:ascii="Calibri" w:hAnsi="Calibri"/>
          <w:color w:val="525866"/>
          <w:sz w:val="22"/>
        </w:rPr>
        <w:t>GD is a highly diversified prime contractor; its Technologies segment is broad and does not specifically address MSI's LMR or video security markets. No specific commentary on unmanned systems or communications hardware relevant to Silvus.</w:t>
      </w:r>
    </w:p>
    <w:p>
      <w:pPr>
        <w:pStyle w:val="Heading3"/>
      </w:pPr>
      <w:r>
        <w:rPr>
          <w:rFonts w:ascii="Calibri" w:hAnsi="Calibri"/>
          <w:b/>
          <w:color w:val="3B4259"/>
          <w:sz w:val="24"/>
        </w:rPr>
        <w:t>D. HPE — Investor Relations Summit (June 16, 2026)</w:t>
      </w:r>
    </w:p>
    <w:p>
      <w:r>
        <w:rPr>
          <w:rFonts w:ascii="Calibri" w:hAnsi="Calibri"/>
          <w:b/>
          <w:color w:val="525866"/>
          <w:sz w:val="22"/>
        </w:rPr>
        <w:t xml:space="preserve">Reporting Period: </w:t>
      </w:r>
      <w:r>
        <w:rPr>
          <w:rFonts w:ascii="Calibri" w:hAnsi="Calibri"/>
          <w:color w:val="525866"/>
          <w:sz w:val="22"/>
        </w:rPr>
        <w:t>Forward-looking commentary at HPE Discover Investor Relations Summit, June 16, 2026.</w:t>
      </w:r>
    </w:p>
    <w:p>
      <w:r>
        <w:rPr>
          <w:rFonts w:ascii="Calibri" w:hAnsi="Calibri"/>
          <w:color w:val="525866"/>
          <w:sz w:val="22"/>
        </w:rPr>
        <w:t>Relevant Commentary (Current Quarter / Forward Outlook):</w:t>
      </w:r>
    </w:p>
    <w:p>
      <w:pPr>
        <w:pStyle w:val="ListBullet"/>
        <w:ind w:left="360" w:hanging="360"/>
      </w:pPr>
      <w:r>
        <w:rPr>
          <w:rFonts w:ascii="Calibri" w:hAnsi="Calibri"/>
          <w:b/>
          <w:color w:val="525866"/>
          <w:sz w:val="22"/>
        </w:rPr>
        <w:t xml:space="preserve">Memory / Supply Chain: </w:t>
      </w:r>
      <w:r>
        <w:rPr>
          <w:rFonts w:ascii="Calibri" w:hAnsi="Calibri"/>
          <w:color w:val="525866"/>
          <w:sz w:val="22"/>
        </w:rPr>
        <w:t>HPE CEO Antonio Neri flagged that "supply availability will continue to be severely constrained until 2027," particularly for older memory technologies (DDR4). Networking transceivers also present "a challenge." Cost is "clearly a cause of concern" but "not the reason why [customers] stop" — demand is accelerating despite elevated costs.</w:t>
      </w:r>
    </w:p>
    <w:p>
      <w:pPr>
        <w:pStyle w:val="ListBullet"/>
        <w:ind w:left="360" w:hanging="360"/>
      </w:pPr>
      <w:r>
        <w:rPr>
          <w:rFonts w:ascii="Calibri" w:hAnsi="Calibri"/>
          <w:b/>
          <w:color w:val="525866"/>
          <w:sz w:val="22"/>
        </w:rPr>
        <w:t xml:space="preserve">Enterprise AI Demand: </w:t>
      </w:r>
      <w:r>
        <w:rPr>
          <w:rFonts w:ascii="Calibri" w:hAnsi="Calibri"/>
          <w:color w:val="525866"/>
          <w:sz w:val="22"/>
        </w:rPr>
        <w:t>"Significant acceleration" in enterprise AI adoption over the last six months. Strong preference for on-premise solutions in security-sensitive verticals (law enforcement, critical infrastructure).</w:t>
      </w:r>
    </w:p>
    <w:p>
      <w:pPr>
        <w:pStyle w:val="ListBullet"/>
        <w:ind w:left="360" w:hanging="360"/>
      </w:pPr>
      <w:r>
        <w:rPr>
          <w:rFonts w:ascii="Calibri" w:hAnsi="Calibri"/>
          <w:b/>
          <w:color w:val="525866"/>
          <w:sz w:val="22"/>
        </w:rPr>
        <w:t xml:space="preserve">Guidance: </w:t>
      </w:r>
      <w:r>
        <w:rPr>
          <w:rFonts w:ascii="Calibri" w:hAnsi="Calibri"/>
          <w:color w:val="525866"/>
          <w:sz w:val="22"/>
        </w:rPr>
        <w:t>HPE provided six quarters of guidance (H2 2026 + FY 2027), calling for double-digit revenue and EPS growth at the midpoint for FY 2027.</w:t>
      </w:r>
    </w:p>
    <w:p>
      <w:r>
        <w:rPr>
          <w:rFonts w:ascii="Calibri" w:hAnsi="Calibri"/>
          <w:b/>
          <w:color w:val="525866"/>
          <w:sz w:val="22"/>
        </w:rPr>
        <w:t>Read-Through to MSI:</w:t>
      </w:r>
    </w:p>
    <w:p>
      <w:pPr>
        <w:pStyle w:val="ListBullet"/>
        <w:ind w:left="360" w:hanging="360"/>
      </w:pPr>
      <w:r>
        <w:rPr>
          <w:rFonts w:ascii="Calibri" w:hAnsi="Calibri"/>
          <w:b/>
          <w:color w:val="525866"/>
          <w:sz w:val="22"/>
        </w:rPr>
        <w:t xml:space="preserve">Mixed — Memory Supply: </w:t>
      </w:r>
      <w:r>
        <w:rPr>
          <w:rFonts w:ascii="Calibri" w:hAnsi="Calibri"/>
          <w:color w:val="525866"/>
          <w:sz w:val="22"/>
        </w:rPr>
        <w:t>HPE's warning that supply constraints persist until 2027 is a cautionary signal for MSI's memory cost mitigation narrative. However, HPE's commentary is focused on DDR4/DDR5 for data center applications, while MSI's memory exposure is primarily in video recorders and cameras (LPDDR5), where ZBRA's commentary suggests capacity is improving.</w:t>
      </w:r>
    </w:p>
    <w:p>
      <w:pPr>
        <w:pStyle w:val="ListBullet"/>
        <w:ind w:left="360" w:hanging="360"/>
      </w:pPr>
      <w:r>
        <w:rPr>
          <w:rFonts w:ascii="Calibri" w:hAnsi="Calibri"/>
          <w:b/>
          <w:color w:val="525866"/>
          <w:sz w:val="22"/>
        </w:rPr>
        <w:t xml:space="preserve">Positive — On-Premise AI Demand: </w:t>
      </w:r>
      <w:r>
        <w:rPr>
          <w:rFonts w:ascii="Calibri" w:hAnsi="Calibri"/>
          <w:color w:val="525866"/>
          <w:sz w:val="22"/>
        </w:rPr>
        <w:t>HPE's observation that security-sensitive enterprise customers prefer on-premise AI solutions aligns with MSI's command center and video security positioning, where data sovereignty and mission-critical reliability drive on-premise or hybrid deployments.</w:t>
      </w:r>
    </w:p>
    <w:p>
      <w:pPr>
        <w:pStyle w:val="ListBullet"/>
        <w:ind w:left="360" w:hanging="360"/>
      </w:pPr>
      <w:r>
        <w:rPr>
          <w:rFonts w:ascii="Calibri" w:hAnsi="Calibri"/>
          <w:b/>
          <w:color w:val="525866"/>
          <w:sz w:val="22"/>
        </w:rPr>
        <w:t xml:space="preserve">Limitations: </w:t>
      </w:r>
      <w:r>
        <w:rPr>
          <w:rFonts w:ascii="Calibri" w:hAnsi="Calibri"/>
          <w:color w:val="525866"/>
          <w:sz w:val="22"/>
        </w:rPr>
        <w:t>HPE's commentary is primarily focused on high-performance computing and AI data center infrastructure, which is not MSI's core market. The supply chain dynamics for HPE's GPU/server business are distinct from MSI's communications hardware supply chain.</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Signal for MSI</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Confidence</w:t>
            </w:r>
          </w:p>
        </w:tc>
      </w:tr>
      <w:tr>
        <w:tc>
          <w:tcPr>
            <w:tcW w:type="dxa" w:w="1728"/>
          </w:tcPr>
          <w:p>
            <w:r>
              <w:rPr>
                <w:rFonts w:ascii="Calibri" w:hAnsi="Calibri"/>
                <w:sz w:val="22"/>
              </w:rPr>
              <w:t>ZBRA</w:t>
            </w:r>
          </w:p>
        </w:tc>
        <w:tc>
          <w:tcPr>
            <w:tcW w:type="dxa" w:w="1728"/>
          </w:tcPr>
          <w:p>
            <w:r>
              <w:rPr>
                <w:rFonts w:ascii="Calibri" w:hAnsi="Calibri"/>
                <w:sz w:val="22"/>
              </w:rPr>
              <w:t>Aug 4, 2026</w:t>
            </w:r>
          </w:p>
        </w:tc>
        <w:tc>
          <w:tcPr>
            <w:tcW w:type="dxa" w:w="1728"/>
          </w:tcPr>
          <w:p>
            <w:r>
              <w:rPr>
                <w:rFonts w:ascii="Calibri" w:hAnsi="Calibri"/>
                <w:sz w:val="22"/>
              </w:rPr>
              <w:t>Memory cost mitigation successful; enterprise demand broad-based; supply chain stable</w:t>
            </w:r>
          </w:p>
        </w:tc>
        <w:tc>
          <w:tcPr>
            <w:tcW w:type="dxa" w:w="1728"/>
          </w:tcPr>
          <w:p>
            <w:r>
              <w:rPr>
                <w:rFonts w:ascii="Calibri" w:hAnsi="Calibri"/>
                <w:b/>
                <w:color w:val="30A46C"/>
                <w:sz w:val="22"/>
              </w:rPr>
              <w:t>Positive</w:t>
            </w:r>
          </w:p>
        </w:tc>
        <w:tc>
          <w:tcPr>
            <w:tcW w:type="dxa" w:w="1728"/>
          </w:tcPr>
          <w:p>
            <w:r>
              <w:rPr>
                <w:rFonts w:ascii="Calibri" w:hAnsi="Calibri"/>
                <w:sz w:val="22"/>
              </w:rPr>
              <w:t>High (direct memory/supply read-through)</w:t>
            </w:r>
          </w:p>
        </w:tc>
      </w:tr>
      <w:tr>
        <w:tc>
          <w:tcPr>
            <w:tcW w:type="dxa" w:w="1728"/>
          </w:tcPr>
          <w:p>
            <w:r>
              <w:rPr>
                <w:rFonts w:ascii="Calibri" w:hAnsi="Calibri"/>
                <w:sz w:val="22"/>
              </w:rPr>
              <w:t>LHX</w:t>
            </w:r>
          </w:p>
        </w:tc>
        <w:tc>
          <w:tcPr>
            <w:tcW w:type="dxa" w:w="1728"/>
          </w:tcPr>
          <w:p>
            <w:r>
              <w:rPr>
                <w:rFonts w:ascii="Calibri" w:hAnsi="Calibri"/>
                <w:sz w:val="22"/>
              </w:rPr>
              <w:t>Jul 29, 2026</w:t>
            </w:r>
          </w:p>
        </w:tc>
        <w:tc>
          <w:tcPr>
            <w:tcW w:type="dxa" w:w="1728"/>
          </w:tcPr>
          <w:p>
            <w:r>
              <w:rPr>
                <w:rFonts w:ascii="Calibri" w:hAnsi="Calibri"/>
                <w:sz w:val="22"/>
              </w:rPr>
              <w:t>Defense comms demand strong; international +20%; C-UAS market validated; record backlog</w:t>
            </w:r>
          </w:p>
        </w:tc>
        <w:tc>
          <w:tcPr>
            <w:tcW w:type="dxa" w:w="1728"/>
          </w:tcPr>
          <w:p>
            <w:r>
              <w:rPr>
                <w:rFonts w:ascii="Calibri" w:hAnsi="Calibri"/>
                <w:b/>
                <w:color w:val="30A46C"/>
                <w:sz w:val="22"/>
              </w:rPr>
              <w:t>Positive</w:t>
            </w:r>
          </w:p>
        </w:tc>
        <w:tc>
          <w:tcPr>
            <w:tcW w:type="dxa" w:w="1728"/>
          </w:tcPr>
          <w:p>
            <w:r>
              <w:rPr>
                <w:rFonts w:ascii="Calibri" w:hAnsi="Calibri"/>
                <w:sz w:val="22"/>
              </w:rPr>
              <w:t>High (direct Silvus/D-Fend read-through)</w:t>
            </w:r>
          </w:p>
        </w:tc>
      </w:tr>
      <w:tr>
        <w:tc>
          <w:tcPr>
            <w:tcW w:type="dxa" w:w="1728"/>
          </w:tcPr>
          <w:p>
            <w:r>
              <w:rPr>
                <w:rFonts w:ascii="Calibri" w:hAnsi="Calibri"/>
                <w:sz w:val="22"/>
              </w:rPr>
              <w:t>GD</w:t>
            </w:r>
          </w:p>
        </w:tc>
        <w:tc>
          <w:tcPr>
            <w:tcW w:type="dxa" w:w="1728"/>
          </w:tcPr>
          <w:p>
            <w:r>
              <w:rPr>
                <w:rFonts w:ascii="Calibri" w:hAnsi="Calibri"/>
                <w:sz w:val="22"/>
              </w:rPr>
              <w:t>Jul 29, 2026</w:t>
            </w:r>
          </w:p>
        </w:tc>
        <w:tc>
          <w:tcPr>
            <w:tcW w:type="dxa" w:w="1728"/>
          </w:tcPr>
          <w:p>
            <w:r>
              <w:rPr>
                <w:rFonts w:ascii="Calibri" w:hAnsi="Calibri"/>
                <w:sz w:val="22"/>
              </w:rPr>
              <w:t>Government spending robust; 1.4x book-to-bill; record defense backlog</w:t>
            </w:r>
          </w:p>
        </w:tc>
        <w:tc>
          <w:tcPr>
            <w:tcW w:type="dxa" w:w="1728"/>
          </w:tcPr>
          <w:p>
            <w:r>
              <w:rPr>
                <w:rFonts w:ascii="Calibri" w:hAnsi="Calibri"/>
                <w:b/>
                <w:color w:val="30A46C"/>
                <w:sz w:val="22"/>
              </w:rPr>
              <w:t>Positive</w:t>
            </w:r>
          </w:p>
        </w:tc>
        <w:tc>
          <w:tcPr>
            <w:tcW w:type="dxa" w:w="1728"/>
          </w:tcPr>
          <w:p>
            <w:r>
              <w:rPr>
                <w:rFonts w:ascii="Calibri" w:hAnsi="Calibri"/>
                <w:sz w:val="22"/>
              </w:rPr>
              <w:t>Medium (broad defense environment)</w:t>
            </w:r>
          </w:p>
        </w:tc>
      </w:tr>
      <w:tr>
        <w:tc>
          <w:tcPr>
            <w:tcW w:type="dxa" w:w="1728"/>
          </w:tcPr>
          <w:p>
            <w:r>
              <w:rPr>
                <w:rFonts w:ascii="Calibri" w:hAnsi="Calibri"/>
                <w:sz w:val="22"/>
              </w:rPr>
              <w:t>HPE</w:t>
            </w:r>
          </w:p>
        </w:tc>
        <w:tc>
          <w:tcPr>
            <w:tcW w:type="dxa" w:w="1728"/>
          </w:tcPr>
          <w:p>
            <w:r>
              <w:rPr>
                <w:rFonts w:ascii="Calibri" w:hAnsi="Calibri"/>
                <w:sz w:val="22"/>
              </w:rPr>
              <w:t>Jun 16, 2026</w:t>
            </w:r>
          </w:p>
        </w:tc>
        <w:tc>
          <w:tcPr>
            <w:tcW w:type="dxa" w:w="1728"/>
          </w:tcPr>
          <w:p>
            <w:r>
              <w:rPr>
                <w:rFonts w:ascii="Calibri" w:hAnsi="Calibri"/>
                <w:sz w:val="22"/>
              </w:rPr>
              <w:t>Memory supply constrained until 2027; on-premise AI demand strong in security verticals</w:t>
            </w:r>
          </w:p>
        </w:tc>
        <w:tc>
          <w:tcPr>
            <w:tcW w:type="dxa" w:w="1728"/>
          </w:tcPr>
          <w:p>
            <w:r>
              <w:rPr>
                <w:rFonts w:ascii="Calibri" w:hAnsi="Calibri"/>
                <w:sz w:val="22"/>
              </w:rPr>
              <w:t>Mixed</w:t>
            </w:r>
          </w:p>
        </w:tc>
        <w:tc>
          <w:tcPr>
            <w:tcW w:type="dxa" w:w="1728"/>
          </w:tcPr>
          <w:p>
            <w:r>
              <w:rPr>
                <w:rFonts w:ascii="Calibri" w:hAnsi="Calibri"/>
                <w:sz w:val="22"/>
              </w:rPr>
              <w:t>Low-Medium (different memory type; different market)</w:t>
            </w:r>
          </w:p>
        </w:tc>
      </w:tr>
    </w:tbl>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database for the period from May 7 to August 4, 2026. The most notable insider signal is the company's own aggressive share repurchase program — ~$400M bought back QTD as of June 3, 2026, per CFO disclosure at the BofA Conference — which is a strong management confidence signal.</w:t>
      </w:r>
    </w:p>
    <w:p>
      <w:r>
        <w:rPr>
          <w:rFonts w:ascii="Calibri" w:hAnsi="Calibri"/>
          <w:color w:val="525866"/>
          <w:sz w:val="22"/>
        </w:rPr>
        <w:t>No open-market insider buys (Form 4, code P) or discretionary insider sales (Form 4, code S) were identified for MSI insiders in the SEC filing database for the period May 7 – August 4, 2026. Routine 10b5-1 planned sales and equity award-related transactions (tax withholding, RSU vesting) may have occurred but are not flagged as discretionary signals.</w:t>
      </w:r>
    </w:p>
    <w:p>
      <w:r>
        <w:rPr>
          <w:rFonts w:ascii="Calibri" w:hAnsi="Calibri"/>
          <w:color w:val="525866"/>
          <w:sz w:val="22"/>
        </w:rPr>
        <w:t xml:space="preserve">The most significant insider-equivalent signal is the </w:t>
      </w:r>
      <w:r>
        <w:rPr>
          <w:rFonts w:ascii="Calibri" w:hAnsi="Calibri"/>
          <w:b/>
          <w:color w:val="525866"/>
          <w:sz w:val="22"/>
        </w:rPr>
        <w:t>company's own buyback activity</w:t>
      </w:r>
      <w:r>
        <w:rPr>
          <w:rFonts w:ascii="Calibri" w:hAnsi="Calibri"/>
          <w:color w:val="525866"/>
          <w:sz w:val="22"/>
        </w:rPr>
        <w:t>: CFO Jason Winkler disclosed at the BofA Conference (June 3, 2026) that MSI had already repurchased approximately $400M of shares quarter-to-date (through June 2), a dramatic acceleration from the $118M repurchased in all of Q1 2026. This was explicitly framed as opportunistic buying following the post-Q1 stock weakness, and represents a strong management confidence signal heading into Q2 earnings.</w:t>
      </w:r>
    </w:p>
    <w:p>
      <w:pPr>
        <w:pStyle w:val="Heading2"/>
      </w:pPr>
      <w:r>
        <w:rPr>
          <w:rFonts w:ascii="Calibri" w:hAnsi="Calibri"/>
          <w:b/>
          <w:color w:val="3B4259"/>
          <w:sz w:val="28"/>
        </w:rPr>
        <w:t>9. Key Risks &amp;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LMR Organic Revenue Trajectory: </w:t>
      </w:r>
      <w:r>
        <w:rPr>
          <w:rFonts w:ascii="Calibri" w:hAnsi="Calibri"/>
          <w:color w:val="525866"/>
          <w:sz w:val="22"/>
        </w:rPr>
        <w:t>Q2 is expected to be the last quarter of negative LMR organic revenue due to supply-chain normalization comps. If the H2 re-acceleration to ~9–10% organic growth is delayed or the magnitude is lower than guided, estimates would need to come down and the stock could re-test post-Q1 lows.</w:t>
      </w:r>
    </w:p>
    <w:p>
      <w:pPr>
        <w:pStyle w:val="ListBullet"/>
        <w:ind w:left="360" w:hanging="360"/>
      </w:pPr>
      <w:r>
        <w:rPr>
          <w:rFonts w:ascii="Calibri" w:hAnsi="Calibri"/>
          <w:b/>
          <w:color w:val="525866"/>
          <w:sz w:val="22"/>
        </w:rPr>
        <w:t xml:space="preserve">Memory Cost Escalation: </w:t>
      </w:r>
      <w:r>
        <w:rPr>
          <w:rFonts w:ascii="Calibri" w:hAnsi="Calibri"/>
          <w:color w:val="525866"/>
          <w:sz w:val="22"/>
        </w:rPr>
        <w:t>Direct memory spend is expected to "more than double" in 2026 (~$50M → ~$100M+). If mitigation strategies (pricing, inventory pre-buy, supplier partnerships) prove insufficient, gross margins could disappoint. ZBRA's successful mitigation is a positive read-through, but MSI's exposure is in different product categories.</w:t>
      </w:r>
    </w:p>
    <w:p>
      <w:pPr>
        <w:pStyle w:val="ListBullet"/>
        <w:ind w:left="360" w:hanging="360"/>
      </w:pPr>
      <w:r>
        <w:rPr>
          <w:rFonts w:ascii="Calibri" w:hAnsi="Calibri"/>
          <w:b/>
          <w:color w:val="525866"/>
          <w:sz w:val="22"/>
        </w:rPr>
        <w:t xml:space="preserve">D-Fend / Bell Canada Integration Risk: </w:t>
      </w:r>
      <w:r>
        <w:rPr>
          <w:rFonts w:ascii="Calibri" w:hAnsi="Calibri"/>
          <w:color w:val="525866"/>
          <w:sz w:val="22"/>
        </w:rPr>
        <w:t>Both acquisitions are expected to close in Q4 2026, adding ~$1B of incremental debt. Any delay in closing, integration challenges, or D-Fend revenue shortfall vs. the $185M 2026 target would be a negative.</w:t>
      </w:r>
    </w:p>
    <w:p>
      <w:pPr>
        <w:pStyle w:val="ListBullet"/>
        <w:ind w:left="360" w:hanging="360"/>
      </w:pPr>
      <w:r>
        <w:rPr>
          <w:rFonts w:ascii="Calibri" w:hAnsi="Calibri"/>
          <w:b/>
          <w:color w:val="525866"/>
          <w:sz w:val="22"/>
        </w:rPr>
        <w:t xml:space="preserve">Axon Competitive Pressure in Command Center: </w:t>
      </w:r>
      <w:r>
        <w:rPr>
          <w:rFonts w:ascii="Calibri" w:hAnsi="Calibri"/>
          <w:color w:val="525866"/>
          <w:sz w:val="22"/>
        </w:rPr>
        <w:t>Axon's entry into the 911 call-center market is an emerging competitive threat. Any evidence of MSI losing command center deals to Axon, or slower-than-expected SVX adoption, would be a negative signal.</w:t>
      </w:r>
    </w:p>
    <w:p>
      <w:pPr>
        <w:pStyle w:val="ListBullet"/>
        <w:ind w:left="360" w:hanging="360"/>
      </w:pPr>
      <w:r>
        <w:rPr>
          <w:rFonts w:ascii="Calibri" w:hAnsi="Calibri"/>
          <w:b/>
          <w:color w:val="525866"/>
          <w:sz w:val="22"/>
        </w:rPr>
        <w:t xml:space="preserve">Tariff Uncertainty: </w:t>
      </w:r>
      <w:r>
        <w:rPr>
          <w:rFonts w:ascii="Calibri" w:hAnsi="Calibri"/>
          <w:color w:val="525866"/>
          <w:sz w:val="22"/>
        </w:rPr>
        <w:t>While the IEEPA tariff refund process is underway, the timing and magnitude of refunds is uncertain. New Section 122 tariffs remain in place. Any escalation in tariff headwinds beyond the $60M guided for 2026 would pressure margins.</w:t>
      </w:r>
    </w:p>
    <w:p>
      <w:pPr>
        <w:pStyle w:val="ListBullet"/>
        <w:ind w:left="360" w:hanging="360"/>
      </w:pPr>
      <w:r>
        <w:rPr>
          <w:rFonts w:ascii="Calibri" w:hAnsi="Calibri"/>
          <w:b/>
          <w:color w:val="525866"/>
          <w:sz w:val="22"/>
        </w:rPr>
        <w:t xml:space="preserve">Federal Budget / DOGE Risk: </w:t>
      </w:r>
      <w:r>
        <w:rPr>
          <w:rFonts w:ascii="Calibri" w:hAnsi="Calibri"/>
          <w:color w:val="525866"/>
          <w:sz w:val="22"/>
        </w:rPr>
        <w:t>While OBBBA funding is beginning to flow, any slowdown in federal procurement or budget uncertainty could delay federal LMR and Silvus orders.</w:t>
      </w:r>
    </w:p>
    <w:p>
      <w:pPr>
        <w:pStyle w:val="Heading3"/>
      </w:pPr>
      <w:r>
        <w:rPr>
          <w:rFonts w:ascii="Calibri" w:hAnsi="Calibri"/>
          <w:b/>
          <w:color w:val="3B4259"/>
          <w:sz w:val="24"/>
        </w:rPr>
        <w:t>Key Questions for the Call</w:t>
      </w:r>
    </w:p>
    <w:p>
      <w:pPr>
        <w:pStyle w:val="ListNumber"/>
        <w:ind w:left="360" w:hanging="360"/>
      </w:pPr>
      <w:r>
        <w:rPr>
          <w:rFonts w:ascii="Calibri" w:hAnsi="Calibri"/>
          <w:b/>
          <w:color w:val="525866"/>
          <w:sz w:val="22"/>
        </w:rPr>
        <w:t xml:space="preserve">LMR Organic Revenue Inflection: </w:t>
      </w:r>
      <w:r>
        <w:rPr>
          <w:rFonts w:ascii="Calibri" w:hAnsi="Calibri"/>
          <w:color w:val="525866"/>
          <w:sz w:val="22"/>
        </w:rPr>
        <w:t>Can you confirm that Q2 is the last quarter of negative LMR organic revenue? What gives you confidence in the H2 re-acceleration to ~9–10% organic growth, and what does the current order pipeline look like for H2?</w:t>
      </w:r>
    </w:p>
    <w:p>
      <w:pPr>
        <w:pStyle w:val="ListNumber"/>
        <w:ind w:left="360" w:hanging="360"/>
      </w:pPr>
      <w:r>
        <w:rPr>
          <w:rFonts w:ascii="Calibri" w:hAnsi="Calibri"/>
          <w:b/>
          <w:color w:val="525866"/>
          <w:sz w:val="22"/>
        </w:rPr>
        <w:t xml:space="preserve">Backlog Trajectory: </w:t>
      </w:r>
      <w:r>
        <w:rPr>
          <w:rFonts w:ascii="Calibri" w:hAnsi="Calibri"/>
          <w:color w:val="525866"/>
          <w:sz w:val="22"/>
        </w:rPr>
        <w:t>Did backlog hold up sequentially in Q2, or did it decline as originally guided? What is the composition of new orders — how much is Silvus vs. core LMR vs. video/command center?</w:t>
      </w:r>
    </w:p>
    <w:p>
      <w:pPr>
        <w:pStyle w:val="ListNumber"/>
        <w:ind w:left="360" w:hanging="360"/>
      </w:pPr>
      <w:r>
        <w:rPr>
          <w:rFonts w:ascii="Calibri" w:hAnsi="Calibri"/>
          <w:b/>
          <w:color w:val="525866"/>
          <w:sz w:val="22"/>
        </w:rPr>
        <w:t xml:space="preserve">Memory Cost Mitigation Update: </w:t>
      </w:r>
      <w:r>
        <w:rPr>
          <w:rFonts w:ascii="Calibri" w:hAnsi="Calibri"/>
          <w:color w:val="525866"/>
          <w:sz w:val="22"/>
        </w:rPr>
        <w:t>How much of the ~$100M+ memory cost headwind has been offset through pricing and other actions in Q2? Are you on track to maintain gross margins comparable to 2025?</w:t>
      </w:r>
    </w:p>
    <w:p>
      <w:pPr>
        <w:pStyle w:val="ListNumber"/>
        <w:ind w:left="360" w:hanging="360"/>
      </w:pPr>
      <w:r>
        <w:rPr>
          <w:rFonts w:ascii="Calibri" w:hAnsi="Calibri"/>
          <w:b/>
          <w:color w:val="525866"/>
          <w:sz w:val="22"/>
        </w:rPr>
        <w:t xml:space="preserve">Silvus Revenue Pacing: </w:t>
      </w:r>
      <w:r>
        <w:rPr>
          <w:rFonts w:ascii="Calibri" w:hAnsi="Calibri"/>
          <w:color w:val="525866"/>
          <w:sz w:val="22"/>
        </w:rPr>
        <w:t>Is Silvus tracking to the $750M full-year target? How is the international demand pipeline evolving — are you seeing new NATO country engagements beyond Germany and the UK?</w:t>
      </w:r>
    </w:p>
    <w:p>
      <w:pPr>
        <w:pStyle w:val="ListNumber"/>
        <w:ind w:left="360" w:hanging="360"/>
      </w:pPr>
      <w:r>
        <w:rPr>
          <w:rFonts w:ascii="Calibri" w:hAnsi="Calibri"/>
          <w:b/>
          <w:color w:val="525866"/>
          <w:sz w:val="22"/>
        </w:rPr>
        <w:t xml:space="preserve">D-Fend / Bell Canada Closing Timeline: </w:t>
      </w:r>
      <w:r>
        <w:rPr>
          <w:rFonts w:ascii="Calibri" w:hAnsi="Calibri"/>
          <w:color w:val="525866"/>
          <w:sz w:val="22"/>
        </w:rPr>
        <w:t>Are both acquisitions still on track for Q4 2026 close? Any regulatory or financing updates?</w:t>
      </w:r>
    </w:p>
    <w:p>
      <w:pPr>
        <w:pStyle w:val="ListNumber"/>
        <w:ind w:left="360" w:hanging="360"/>
      </w:pPr>
      <w:r>
        <w:rPr>
          <w:rFonts w:ascii="Calibri" w:hAnsi="Calibri"/>
          <w:b/>
          <w:color w:val="525866"/>
          <w:sz w:val="22"/>
        </w:rPr>
        <w:t xml:space="preserve">SVX / Body-Worn Camera Competitive Update: </w:t>
      </w:r>
      <w:r>
        <w:rPr>
          <w:rFonts w:ascii="Calibri" w:hAnsi="Calibri"/>
          <w:color w:val="525866"/>
          <w:sz w:val="22"/>
        </w:rPr>
        <w:t>How many SVX customers are now active, and what percentage have activated video capabilities? Are you seeing any impact from Axon's 911 call-center push on your command center pipeline?</w:t>
      </w:r>
    </w:p>
    <w:p>
      <w:pPr>
        <w:pStyle w:val="ListNumber"/>
        <w:ind w:left="360" w:hanging="360"/>
      </w:pPr>
      <w:r>
        <w:rPr>
          <w:rFonts w:ascii="Calibri" w:hAnsi="Calibri"/>
          <w:b/>
          <w:color w:val="525866"/>
          <w:sz w:val="22"/>
        </w:rPr>
        <w:t xml:space="preserve">OBBBA Funding: </w:t>
      </w:r>
      <w:r>
        <w:rPr>
          <w:rFonts w:ascii="Calibri" w:hAnsi="Calibri"/>
          <w:color w:val="525866"/>
          <w:sz w:val="22"/>
        </w:rPr>
        <w:t>How many federal opportunities are now using OBBBA as a funding source? What is the expected timing of OBBBA-funded orders flowing into revenue?</w:t>
      </w:r>
    </w:p>
    <w:p>
      <w:pPr>
        <w:pStyle w:val="ListNumber"/>
        <w:ind w:left="360" w:hanging="360"/>
      </w:pPr>
      <w:r>
        <w:rPr>
          <w:rFonts w:ascii="Calibri" w:hAnsi="Calibri"/>
          <w:b/>
          <w:color w:val="525866"/>
          <w:sz w:val="22"/>
        </w:rPr>
        <w:t xml:space="preserve">Capital Allocation: </w:t>
      </w:r>
      <w:r>
        <w:rPr>
          <w:rFonts w:ascii="Calibri" w:hAnsi="Calibri"/>
          <w:color w:val="525866"/>
          <w:sz w:val="22"/>
        </w:rPr>
        <w:t>How much did you repurchase in Q2 total? Given the D-Fend and Bell Canada closings in Q4, how should we think about buyback capacity in H2?</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(Net Sales, Non-GAAP EPS, Software &amp; Services Revenue, LMR Revenue, Video Revenue, Command Center Revenue, Total Backlog). Point-in-time consensus as of May 14, 2026 (post-Q1 baseline) and August 4, 2026 (current). Revision history May 15 – August 4, 2026 (weekly frequency).</w:t>
      </w:r>
    </w:p>
    <w:p>
      <w:pPr>
        <w:pStyle w:val="ListBullet"/>
        <w:ind w:left="360" w:hanging="360"/>
      </w:pPr>
      <w:r>
        <w:rPr>
          <w:rFonts w:ascii="Calibri" w:hAnsi="Calibri"/>
          <w:b/>
          <w:color w:val="525866"/>
          <w:sz w:val="22"/>
        </w:rPr>
        <w:t>MSI Q1 2026 Earnings Call Transcript</w:t>
      </w:r>
      <w:r>
        <w:rPr>
          <w:rFonts w:ascii="Calibri" w:hAnsi="Calibri"/>
          <w:color w:val="525866"/>
          <w:sz w:val="22"/>
        </w:rPr>
        <w:t xml:space="preserve"> (May 7, 2026) — Q2 and FY 2026 guidance, KPI actuals, management commentary on LMR, Silvus, video, command center, margins, tariffs, memory costs, Bell Canada acquisition.</w:t>
      </w:r>
    </w:p>
    <w:p>
      <w:pPr>
        <w:pStyle w:val="ListBullet"/>
        <w:ind w:left="360" w:hanging="360"/>
      </w:pPr>
      <w:r>
        <w:rPr>
          <w:rFonts w:ascii="Calibri" w:hAnsi="Calibri"/>
          <w:b/>
          <w:color w:val="525866"/>
          <w:sz w:val="22"/>
        </w:rPr>
        <w:t>MSI Q1 2026 Earnings Release / 8-K</w:t>
      </w:r>
      <w:r>
        <w:rPr>
          <w:rFonts w:ascii="Calibri" w:hAnsi="Calibri"/>
          <w:color w:val="525866"/>
          <w:sz w:val="22"/>
        </w:rPr>
        <w:t xml:space="preserve"> (May 7, 2026) — Reported financials, segment results, notable wins, capital allocation.</w:t>
      </w:r>
    </w:p>
    <w:p>
      <w:pPr>
        <w:pStyle w:val="ListBullet"/>
        <w:ind w:left="360" w:hanging="360"/>
      </w:pPr>
      <w:r>
        <w:rPr>
          <w:rFonts w:ascii="Calibri" w:hAnsi="Calibri"/>
          <w:b/>
          <w:color w:val="525866"/>
          <w:sz w:val="22"/>
        </w:rPr>
        <w:t>BofA Global Technology Conference Transcript</w:t>
      </w:r>
      <w:r>
        <w:rPr>
          <w:rFonts w:ascii="Calibri" w:hAnsi="Calibri"/>
          <w:color w:val="525866"/>
          <w:sz w:val="22"/>
        </w:rPr>
        <w:t xml:space="preserve"> (June 3, 2026) — CFO Jason Winkler commentary on Q2 guidance, Silvus, buybacks, memory costs, D-Fend, OBBBA funding.</w:t>
      </w:r>
    </w:p>
    <w:p>
      <w:pPr>
        <w:pStyle w:val="ListBullet"/>
        <w:ind w:left="360" w:hanging="360"/>
      </w:pPr>
      <w:r>
        <w:rPr>
          <w:rFonts w:ascii="Calibri" w:hAnsi="Calibri"/>
          <w:b/>
          <w:color w:val="525866"/>
          <w:sz w:val="22"/>
        </w:rPr>
        <w:t>JP Morgan TMC Conference Transcript</w:t>
      </w:r>
      <w:r>
        <w:rPr>
          <w:rFonts w:ascii="Calibri" w:hAnsi="Calibri"/>
          <w:color w:val="525866"/>
          <w:sz w:val="22"/>
        </w:rPr>
        <w:t xml:space="preserve"> (May 20, 2026) — Management commentary on LMR organic trajectory, Silvus, video competitive landscape, margins.</w:t>
      </w:r>
    </w:p>
    <w:p>
      <w:pPr>
        <w:pStyle w:val="ListBullet"/>
        <w:ind w:left="360" w:hanging="360"/>
      </w:pPr>
      <w:r>
        <w:rPr>
          <w:rFonts w:ascii="Calibri" w:hAnsi="Calibri"/>
          <w:b/>
          <w:color w:val="525866"/>
          <w:sz w:val="22"/>
        </w:rPr>
        <w:t>D-Fend Solutions Acquisition Press Release / News</w:t>
      </w:r>
      <w:r>
        <w:rPr>
          <w:rFonts w:ascii="Calibri" w:hAnsi="Calibri"/>
          <w:color w:val="525866"/>
          <w:sz w:val="22"/>
        </w:rPr>
        <w:t xml:space="preserve"> (June 1, 2026) — Acquisition terms, D-Fend revenue profile, C-UAS TAM.</w:t>
      </w:r>
    </w:p>
    <w:p>
      <w:pPr>
        <w:pStyle w:val="ListBullet"/>
        <w:ind w:left="360" w:hanging="360"/>
      </w:pPr>
      <w:r>
        <w:rPr>
          <w:rFonts w:ascii="Calibri" w:hAnsi="Calibri"/>
          <w:b/>
          <w:color w:val="525866"/>
          <w:sz w:val="22"/>
        </w:rPr>
        <w:t>ZBRA Q2 2026 Earnings Release and Call Transcript</w:t>
      </w:r>
      <w:r>
        <w:rPr>
          <w:rFonts w:ascii="Calibri" w:hAnsi="Calibri"/>
          <w:color w:val="525866"/>
          <w:sz w:val="22"/>
        </w:rPr>
        <w:t xml:space="preserve"> (August 4, 2026) — Peer read-through on enterprise demand, memory cost mitigation, supply chain, guidance.</w:t>
      </w:r>
    </w:p>
    <w:p>
      <w:pPr>
        <w:pStyle w:val="ListBullet"/>
        <w:ind w:left="360" w:hanging="360"/>
      </w:pPr>
      <w:r>
        <w:rPr>
          <w:rFonts w:ascii="Calibri" w:hAnsi="Calibri"/>
          <w:b/>
          <w:color w:val="525866"/>
          <w:sz w:val="22"/>
        </w:rPr>
        <w:t>LHX Q2 2026 Earnings Release and Call Transcript</w:t>
      </w:r>
      <w:r>
        <w:rPr>
          <w:rFonts w:ascii="Calibri" w:hAnsi="Calibri"/>
          <w:color w:val="525866"/>
          <w:sz w:val="22"/>
        </w:rPr>
        <w:t xml:space="preserve"> (July 29, 2026) — Peer read-through on defense communications demand, international growth, C-UAS, government funding.</w:t>
      </w:r>
    </w:p>
    <w:p>
      <w:pPr>
        <w:pStyle w:val="ListBullet"/>
        <w:ind w:left="360" w:hanging="360"/>
      </w:pPr>
      <w:r>
        <w:rPr>
          <w:rFonts w:ascii="Calibri" w:hAnsi="Calibri"/>
          <w:b/>
          <w:color w:val="525866"/>
          <w:sz w:val="22"/>
        </w:rPr>
        <w:t>GD Q2 2026 Earnings Release</w:t>
      </w:r>
      <w:r>
        <w:rPr>
          <w:rFonts w:ascii="Calibri" w:hAnsi="Calibri"/>
          <w:color w:val="525866"/>
          <w:sz w:val="22"/>
        </w:rPr>
        <w:t xml:space="preserve"> (July 29, 2026) — Peer read-through on government spending environment, defense backlog.</w:t>
      </w:r>
    </w:p>
    <w:p>
      <w:pPr>
        <w:pStyle w:val="ListBullet"/>
        <w:ind w:left="360" w:hanging="360"/>
      </w:pPr>
      <w:r>
        <w:rPr>
          <w:rFonts w:ascii="Calibri" w:hAnsi="Calibri"/>
          <w:b/>
          <w:color w:val="525866"/>
          <w:sz w:val="22"/>
        </w:rPr>
        <w:t>HPE Investor Relations Summit Transcript</w:t>
      </w:r>
      <w:r>
        <w:rPr>
          <w:rFonts w:ascii="Calibri" w:hAnsi="Calibri"/>
          <w:color w:val="525866"/>
          <w:sz w:val="22"/>
        </w:rPr>
        <w:t xml:space="preserve"> (June 16, 2026) — Peer read-through on memory supply constraints, enterprise AI demand.</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MSI, XLI, SPY daily closing prices May 7 – August 5, 2026. Indexed to 100 at May 7, 2026 close.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