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i-earnings-predictions--2026-08-05"/>
    <w:p>
      <w:pPr>
        <w:pStyle w:val="Heading1"/>
      </w:pPr>
      <w:r>
        <w:t xml:space="preserve">NI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~$0.24 vs. cons $0.23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~$1.25B vs. cons $1.24B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H1 2026 Adjusted EPS (run-rate / % of FY midpoint)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~$1.30 (~64% of</w:t>
            </w:r>
            <w:r>
              <w:t xml:space="preserve"> </w:t>
            </w:r>
            <m:oMath>
              <m:r>
                <m:t>2.045</m:t>
              </m:r>
              <m:r>
                <m:t>m</m:t>
              </m:r>
              <m:r>
                <m:t>i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1.29 (~63%)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consolidated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2.02</m:t>
              </m:r>
              <m:r>
                <m:rPr>
                  <m:sty m:val="p"/>
                </m:rPr>
                <m:t>–</m:t>
              </m:r>
              <m:r>
                <m:t>2.07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t>k</m:t>
              </m:r>
              <m:r>
                <m:t>e</m:t>
              </m:r>
              <m:r>
                <m:t>w</m:t>
              </m:r>
              <m:r>
                <m:t>t</m:t>
              </m:r>
              <m:r>
                <m:t>o</m:t>
              </m:r>
              <m:r>
                <m:t>u</m:t>
              </m:r>
              <m:r>
                <m:t>p</m:t>
              </m:r>
              <m:r>
                <m:t>p</m:t>
              </m:r>
              <m:r>
                <m:t>e</m:t>
              </m:r>
              <m:r>
                <m:t>r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consolidated adj.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9–10%, tracking high end thru 2030 vs. cons ~9–10% (2026–2033)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GenCo signed data-center capacity / pipeline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~4 GW signed, ~9 GW funnel vs. cons hoping for 3 GW-bucket conversion (as of 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GenCo EPS contribution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$0.25–0.35 (2030) /</w:t>
            </w:r>
            <w:r>
              <w:t xml:space="preserve"> </w:t>
            </w:r>
            <m:oMath>
              <m:r>
                <m:t>0.40</m:t>
              </m:r>
              <m:r>
                <m:rPr>
                  <m:sty m:val="p"/>
                </m:rPr>
                <m:t>–</m:t>
              </m:r>
              <m:r>
                <m:t>0.60</m:t>
              </m:r>
              <m:r>
                <m:rPr>
                  <m:sty m:val="p"/>
                </m:rPr>
                <m:t>(</m:t>
              </m:r>
              <m:r>
                <m:t>2033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0.30 / ~$0.50 (same)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FFO/debt target &amp; annual equity funding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14–16% FFO/debt &amp;</w:t>
            </w:r>
            <w:r>
              <w:t xml:space="preserve"> </w:t>
            </w:r>
            <m:oMath>
              <m:r>
                <m:t>400</m:t>
              </m:r>
              <m:r>
                <m:rPr>
                  <m:sty m:val="p"/>
                </m:rPr>
                <m:t>–</m:t>
              </m:r>
              <m:r>
                <m:t>600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y</m:t>
              </m:r>
              <m:r>
                <m:t>r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t</m:t>
              </m:r>
              <m:r>
                <m:t>y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15</m:t>
              </m:r>
            </m:oMath>
            <w:r>
              <w:t xml:space="preserve">500M (2026–2033)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Seasonally trivial Q2; a modest EPS beat plus a merely-reaffirmed (or upper-half-narrowed) FY guide implies flat-to-lower H2 out-period estimates — the implicit-cut math pulls numbers down even after a beat. Absent a fresh GenCo signing or pipeline/CAGR uplift, elevated data-center expectations aren't re-excited, and NI mean-reverts as it did after the Q1 beat/raise faded ~3%. Any small day-1 relief bounce off 2026 lows gives back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2026-08-05T00:32:37Z</dcterms:created>
  <dcterms:modified xsi:type="dcterms:W3CDTF">2026-08-05T00:32:37Z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