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nisource-ni--q2-2026-earnings-preview"/>
    <w:p>
      <w:pPr>
        <w:pStyle w:val="Heading1"/>
      </w:pPr>
      <w:r>
        <w:t xml:space="preserve">NiSource (NI) — Q2 2026 Earnings Preview</w:t>
      </w:r>
    </w:p>
    <w:bookmarkStart w:id="9" w:name="Xa779b3f4c2f2fda1eae94bc66b11d95878e0b12"/>
    <w:p>
      <w:pPr>
        <w:pStyle w:val="Heading3"/>
      </w:pPr>
      <w:r>
        <w:t xml:space="preserve">Report due before market open, Wednesday, August 5, 2026 · Call 11:00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NiSource heads into a seasonally sleepy Q2 print with the story firmly focused not on the quarter's pennies but on the</w:t>
      </w:r>
      <w:r>
        <w:t xml:space="preserve"> </w:t>
      </w:r>
      <w:r>
        <w:rPr>
          <w:b/>
          <w:bCs/>
        </w:rPr>
        <w:t xml:space="preserve">GenCo data-center engine</w:t>
      </w:r>
      <w:r>
        <w:t xml:space="preserve"> </w:t>
      </w:r>
      <w:r>
        <w:t xml:space="preserve">that has already re-rated its growth algorithm. The Q2 EPS number will be small and largely irrelevant; the market's attention is on</w:t>
      </w:r>
      <w:r>
        <w:t xml:space="preserve"> </w:t>
      </w:r>
      <w:r>
        <w:rPr>
          <w:b/>
          <w:bCs/>
        </w:rPr>
        <w:t xml:space="preserve">regulatory approvals, new contract signings, and any further upward revisions to the long-term growth and GenCo earnings framework.</w:t>
      </w:r>
    </w:p>
    <w:p>
      <w:r>
        <w:pict>
          <v:rect style="width:0;height:1.5pt" o:hralign="center" o:hrstd="t" o:hr="t"/>
        </w:pict>
      </w:r>
    </w:p>
    <w:bookmarkEnd w:id="10"/>
    <w:bookmarkStart w:id="11" w:name="X420f01e123e4462d9a53826a499a24dfae4fbfc"/>
    <w:p>
      <w:pPr>
        <w:pStyle w:val="Heading2"/>
      </w:pPr>
      <w:r>
        <w:t xml:space="preserve">1. Context: this is a fully-regulated, gas-heavy utility with a new growth kicker</w:t>
      </w:r>
    </w:p>
    <w:p>
      <w:pPr>
        <w:pStyle w:val="FirstParagraph"/>
      </w:pPr>
      <w:r>
        <w:t xml:space="preserve">NiSource is one of the largest fully-regulated utilities in the U.S., serving ~3.3 million natural gas customers and ~500,000 electric customers across six states via its Columbia Gas and NIPSCO brands. Because the base business skews heavily to natural gas distribution,</w:t>
      </w:r>
      <w:r>
        <w:t xml:space="preserve"> </w:t>
      </w:r>
      <w:r>
        <w:rPr>
          <w:b/>
          <w:bCs/>
        </w:rPr>
        <w:t xml:space="preserve">Q2 is structurally the weakest quarter of the year</w:t>
      </w:r>
      <w:r>
        <w:t xml:space="preserve"> </w:t>
      </w:r>
      <w:r>
        <w:t xml:space="preserve">— there's little heating load and the bulk of earnings land in Q1 and Q4.</w:t>
      </w:r>
    </w:p>
    <w:p>
      <w:pPr>
        <w:pStyle w:val="BodyText"/>
      </w:pPr>
      <w:r>
        <w:t xml:space="preserve">For reference, a year ago in **Q2 2025, NiSource earned just</w:t>
      </w:r>
      <w:r>
        <w:t xml:space="preserve"> </w:t>
      </w:r>
      <m:oMath>
        <m:r>
          <m:t>0.22</m:t>
        </m:r>
        <m:r>
          <m:t>o</m:t>
        </m:r>
        <m:r>
          <m:t>f</m:t>
        </m:r>
        <m:r>
          <m:t>a</m:t>
        </m:r>
        <m:r>
          <m:t>d</m:t>
        </m:r>
        <m:r>
          <m:t>j</m:t>
        </m:r>
        <m:r>
          <m:t>u</m:t>
        </m:r>
        <m:r>
          <m:t>s</m:t>
        </m:r>
        <m:r>
          <m:t>t</m:t>
        </m:r>
        <m:r>
          <m:t>e</m:t>
        </m:r>
        <m:r>
          <m:t>d</m:t>
        </m:r>
        <m:r>
          <m:t>E</m:t>
        </m:r>
        <m:r>
          <m:t>P</m:t>
        </m:r>
        <m:r>
          <m:t>S</m:t>
        </m:r>
        <m:r>
          <m:rPr>
            <m:sty m:val="p"/>
          </m:rPr>
          <m:t>*</m:t>
        </m:r>
        <m:r>
          <m:rPr>
            <m:sty m:val="p"/>
          </m:rPr>
          <m:t>*</m:t>
        </m:r>
        <m:r>
          <m:rPr>
            <m:sty m:val="p"/>
          </m:rPr>
          <m:t>(</m:t>
        </m:r>
      </m:oMath>
      <w:r>
        <w:t xml:space="preserve">101.9M), up modestly from $0.21 in Q2 2024. Don't be alarmed by a small headline number — the seasonal shape is normal. What matters is whether the six-month run-rate keeps the full-year on track.</w:t>
      </w:r>
    </w:p>
    <w:p>
      <w:r>
        <w:pict>
          <v:rect style="width:0;height:1.5pt" o:hralign="center" o:hrstd="t" o:hr="t"/>
        </w:pict>
      </w:r>
    </w:p>
    <w:bookmarkEnd w:id="11"/>
    <w:bookmarkStart w:id="12" w:name="X21486b85b5782ef93d15fead1b61ed19dd1c6fb"/>
    <w:p>
      <w:pPr>
        <w:pStyle w:val="Heading2"/>
      </w:pPr>
      <w:r>
        <w:t xml:space="preserve">2. The numbers that actually matter tomorrow</w:t>
      </w:r>
    </w:p>
    <w:p>
      <w:pPr>
        <w:pStyle w:val="FirstParagraph"/>
      </w:pPr>
      <w:r>
        <w:rPr>
          <w:b/>
          <w:bCs/>
        </w:rPr>
        <w:t xml:space="preserve">Full-year guidance (watch for reaffirmation):</w:t>
      </w:r>
    </w:p>
    <w:p>
      <w:pPr>
        <w:pStyle w:val="Compact"/>
        <w:numPr>
          <w:ilvl w:val="0"/>
          <w:numId w:val="1001"/>
        </w:numPr>
      </w:pPr>
      <w:r>
        <w:t xml:space="preserve">2026</w:t>
      </w:r>
      <w:r>
        <w:t xml:space="preserve"> </w:t>
      </w:r>
      <w:r>
        <w:rPr>
          <w:b/>
          <w:bCs/>
        </w:rPr>
        <w:t xml:space="preserve">consolidated adjusted EPS guidance of</w:t>
      </w:r>
      <w:r>
        <w:rPr>
          <w:b/>
          <w:bCs/>
        </w:rPr>
        <w:t xml:space="preserve"> </w:t>
      </w:r>
      <m:oMath>
        <m:r>
          <m:t>2.02</m:t>
        </m:r>
        <m:r>
          <m:rPr>
            <m:sty m:val="p"/>
          </m:rPr>
          <m:t>–</m:t>
        </m:r>
      </m:oMath>
      <w:r>
        <w:rPr>
          <w:b/>
          <w:bCs/>
        </w:rPr>
        <w:t xml:space="preserve">2.07</w:t>
      </w:r>
      <w:r>
        <w:t xml:space="preserve">, ~8% YoY growth at the midpoint.</w:t>
      </w:r>
    </w:p>
    <w:p>
      <w:pPr>
        <w:pStyle w:val="Compact"/>
        <w:numPr>
          <w:ilvl w:val="0"/>
          <w:numId w:val="1001"/>
        </w:numPr>
      </w:pPr>
      <w:r>
        <w:t xml:space="preserve">Note the</w:t>
      </w:r>
      <w:r>
        <w:t xml:space="preserve"> </w:t>
      </w:r>
      <w:r>
        <w:rPr>
          <w:b/>
          <w:bCs/>
        </w:rPr>
        <w:t xml:space="preserve">new reporting framework as of 2026</w:t>
      </w:r>
      <w:r>
        <w:t xml:space="preserve">: management now splits</w:t>
      </w:r>
      <w:r>
        <w:t xml:space="preserve"> </w:t>
      </w:r>
      <w:r>
        <w:rPr>
          <w:i/>
          <w:iCs/>
        </w:rPr>
        <w:t xml:space="preserve">base plan adjusted EPS</w:t>
      </w:r>
      <w:r>
        <w:t xml:space="preserve"> </w:t>
      </w:r>
      <w:r>
        <w:t xml:space="preserve">(the core regulated utility) from</w:t>
      </w:r>
      <w:r>
        <w:t xml:space="preserve"> </w:t>
      </w:r>
      <w:r>
        <w:rPr>
          <w:i/>
          <w:iCs/>
        </w:rPr>
        <w:t xml:space="preserve">consolidated adjusted EPS</w:t>
      </w:r>
      <w:r>
        <w:t xml:space="preserve"> </w:t>
      </w:r>
      <w:r>
        <w:t xml:space="preserve">(base plan</w:t>
      </w:r>
      <w:r>
        <w:t xml:space="preserve"> </w:t>
      </w:r>
      <w:r>
        <w:rPr>
          <w:b/>
          <w:bCs/>
        </w:rPr>
        <w:t xml:space="preserve">plus</w:t>
      </w:r>
      <w:r>
        <w:t xml:space="preserve"> </w:t>
      </w:r>
      <w:r>
        <w:t xml:space="preserve">data-center/GenCo operations). Expect this bifurcation on tomorrow's slides.</w:t>
      </w:r>
    </w:p>
    <w:p>
      <w:pPr>
        <w:pStyle w:val="FirstParagraph"/>
      </w:pPr>
      <w:r>
        <w:rPr>
          <w:b/>
          <w:bCs/>
        </w:rPr>
        <w:t xml:space="preserve">Run-rate check:</w:t>
      </w:r>
      <w:r>
        <w:t xml:space="preserve"> </w:t>
      </w:r>
      <w:r>
        <w:t xml:space="preserve">Q1 2026 already delivered</w:t>
      </w:r>
      <w:r>
        <w:t xml:space="preserve"> </w:t>
      </w:r>
      <w:r>
        <w:rPr>
          <w:b/>
          <w:bCs/>
        </w:rPr>
        <w:t xml:space="preserve">$1.06 of consolidated adjusted EPS (up 8% YoY from $0.98)</w:t>
      </w:r>
      <w:r>
        <w:t xml:space="preserve">, which management flagged as</w:t>
      </w:r>
      <w:r>
        <w:t xml:space="preserve"> </w:t>
      </w:r>
      <w:r>
        <w:rPr>
          <w:b/>
          <w:bCs/>
        </w:rPr>
        <w:t xml:space="preserve">52% of the midpoint</w:t>
      </w:r>
      <w:r>
        <w:t xml:space="preserve"> </w:t>
      </w:r>
      <w:r>
        <w:t xml:space="preserve">— i.e., they're comfortably ahead of the typical cadence. A clean Q2 that keeps them on that glide path is the base case; any narrowing to the</w:t>
      </w:r>
      <w:r>
        <w:t xml:space="preserve"> </w:t>
      </w:r>
      <w:r>
        <w:rPr>
          <w:i/>
          <w:iCs/>
        </w:rPr>
        <w:t xml:space="preserve">upper half</w:t>
      </w:r>
      <w:r>
        <w:t xml:space="preserve"> </w:t>
      </w:r>
      <w:r>
        <w:t xml:space="preserve">of the range would echo last year's Q2 playbook and read as a positive.</w:t>
      </w:r>
    </w:p>
    <w:p>
      <w:pPr>
        <w:pStyle w:val="BodyText"/>
      </w:pPr>
      <w:r>
        <w:rPr>
          <w:b/>
          <w:bCs/>
        </w:rPr>
        <w:t xml:space="preserve">Long-term algorithm (the re-rate):</w:t>
      </w:r>
      <w:r>
        <w:t xml:space="preserve"> </w:t>
      </w:r>
      <w:r>
        <w:t xml:space="preserve">On the Q1 call NiSource</w:t>
      </w:r>
      <w:r>
        <w:t xml:space="preserve"> </w:t>
      </w:r>
      <w:r>
        <w:rPr>
          <w:b/>
          <w:bCs/>
        </w:rPr>
        <w:t xml:space="preserve">raised its long-term consolidated adjusted EPS CAGR by 100 bps to 9%–10% (2026–2033)</w:t>
      </w:r>
      <w:r>
        <w:t xml:space="preserve">, and said it expects to track toward the</w:t>
      </w:r>
      <w:r>
        <w:t xml:space="preserve"> </w:t>
      </w:r>
      <w:r>
        <w:rPr>
          <w:b/>
          <w:bCs/>
        </w:rPr>
        <w:t xml:space="preserve">high end through 2030</w:t>
      </w:r>
      <w:r>
        <w:t xml:space="preserve">, powered by data centers. Rate-base growth guidance sits at</w:t>
      </w:r>
      <w:r>
        <w:t xml:space="preserve"> </w:t>
      </w:r>
      <w:r>
        <w:rPr>
          <w:b/>
          <w:bCs/>
        </w:rPr>
        <w:t xml:space="preserve">9%–11%</w:t>
      </w:r>
      <w:r>
        <w:t xml:space="preserve">.</w:t>
      </w:r>
    </w:p>
    <w:p>
      <w:r>
        <w:pict>
          <v:rect style="width:0;height:1.5pt" o:hralign="center" o:hrstd="t" o:hr="t"/>
        </w:pict>
      </w:r>
    </w:p>
    <w:bookmarkEnd w:id="12"/>
    <w:bookmarkStart w:id="13" w:name="Xa012f66958cf1ad3e329afcf89416fbcbc655de"/>
    <w:p>
      <w:pPr>
        <w:pStyle w:val="Heading2"/>
      </w:pPr>
      <w:r>
        <w:t xml:space="preserve">3. The main event: GenCo &amp; the data-center pipeline</w:t>
      </w:r>
    </w:p>
    <w:p>
      <w:pPr>
        <w:pStyle w:val="FirstParagraph"/>
      </w:pPr>
      <w:r>
        <w:t xml:space="preserve">This is the whole ballgame. NIPSCO's "GenCo" model lets NiSource serve hyperscaler load through ring-fenced, contracted generation (owned assets + battery + market/contracted capacity) while insulating retail customers and the balance sheet.</w:t>
      </w:r>
    </w:p>
    <w:p>
      <w:pPr>
        <w:pStyle w:val="BodyText"/>
      </w:pPr>
      <w:r>
        <w:rPr>
          <w:b/>
          <w:bCs/>
        </w:rPr>
        <w:t xml:space="preserve">Where things stood exiting Q1 2026:</w:t>
      </w:r>
    </w:p>
    <w:p>
      <w:pPr>
        <w:pStyle w:val="Compact"/>
        <w:numPr>
          <w:ilvl w:val="0"/>
          <w:numId w:val="1002"/>
        </w:numPr>
      </w:pPr>
      <w:r>
        <w:rPr>
          <w:b/>
          <w:bCs/>
        </w:rPr>
        <w:t xml:space="preserve">~4 GW of data-center capacity signed</w:t>
      </w:r>
      <w:r>
        <w:t xml:space="preserve"> </w:t>
      </w:r>
      <w:r>
        <w:t xml:space="preserve">— Amazon (original + two expansions, including an incremental 400 MW) and a new</w:t>
      </w:r>
      <w:r>
        <w:t xml:space="preserve"> </w:t>
      </w:r>
      <w:r>
        <w:rPr>
          <w:b/>
          <w:bCs/>
        </w:rPr>
        <w:t xml:space="preserve">Alphabet</w:t>
      </w:r>
      <w:r>
        <w:t xml:space="preserve"> </w:t>
      </w:r>
      <w:r>
        <w:t xml:space="preserve">agreement (340 MW pooled, service beginning summer 2026, full ramp by 2030).</w:t>
      </w:r>
    </w:p>
    <w:p>
      <w:pPr>
        <w:pStyle w:val="Compact"/>
        <w:numPr>
          <w:ilvl w:val="0"/>
          <w:numId w:val="1002"/>
        </w:numPr>
      </w:pPr>
      <w:r>
        <w:t xml:space="preserve">Combined agreements now deliver</w:t>
      </w:r>
      <w:r>
        <w:t xml:space="preserve"> </w:t>
      </w:r>
      <w:r>
        <w:rPr>
          <w:b/>
          <w:bCs/>
        </w:rPr>
        <w:t xml:space="preserve">~</w:t>
      </w:r>
      <m:oMath>
        <m:r>
          <m:t>1.4</m:t>
        </m:r>
        <m:r>
          <m:t>b</m:t>
        </m:r>
        <m:r>
          <m:t>i</m:t>
        </m:r>
        <m:r>
          <m:t>l</m:t>
        </m:r>
        <m:r>
          <m:t>l</m:t>
        </m:r>
        <m:r>
          <m:t>i</m:t>
        </m:r>
        <m:r>
          <m:t>o</m:t>
        </m:r>
        <m:r>
          <m:t>n</m:t>
        </m:r>
        <m:r>
          <m:t>i</m:t>
        </m:r>
        <m:r>
          <m:t>n</m:t>
        </m:r>
        <m:r>
          <m:t>c</m:t>
        </m:r>
        <m:r>
          <m:t>u</m:t>
        </m:r>
        <m:r>
          <m:t>s</m:t>
        </m:r>
        <m:r>
          <m:t>t</m:t>
        </m:r>
        <m:r>
          <m:t>o</m:t>
        </m:r>
        <m:r>
          <m:t>m</m:t>
        </m:r>
        <m:r>
          <m:t>e</m:t>
        </m:r>
        <m:r>
          <m:t>r</m:t>
        </m:r>
        <m:r>
          <m:t>s</m:t>
        </m:r>
        <m:r>
          <m:t>a</m:t>
        </m:r>
        <m:r>
          <m:t>v</m:t>
        </m:r>
        <m:r>
          <m:t>i</m:t>
        </m:r>
        <m:r>
          <m:t>n</m:t>
        </m:r>
        <m:r>
          <m:t>g</m:t>
        </m:r>
        <m:r>
          <m:t>s</m:t>
        </m:r>
        <m:r>
          <m:rPr>
            <m:sty m:val="p"/>
          </m:rPr>
          <m:t>*</m:t>
        </m:r>
        <m:r>
          <m:rPr>
            <m:sty m:val="p"/>
          </m:rPr>
          <m:t>*</m:t>
        </m:r>
        <m:r>
          <m:t>o</m:t>
        </m:r>
        <m:r>
          <m:t>v</m:t>
        </m:r>
        <m:r>
          <m:t>e</m:t>
        </m:r>
        <m:r>
          <m:t>r</m:t>
        </m:r>
        <m:r>
          <m:t>15</m:t>
        </m:r>
        <m:r>
          <m:t>y</m:t>
        </m:r>
        <m:r>
          <m:t>e</m:t>
        </m:r>
        <m:r>
          <m:t>a</m:t>
        </m:r>
        <m:r>
          <m:t>r</m:t>
        </m:r>
        <m:r>
          <m:t>s</m:t>
        </m:r>
        <m:r>
          <m:rPr>
            <m:sty m:val="p"/>
          </m:rPr>
          <m:t>(</m:t>
        </m:r>
        <m:r>
          <m:t>u</m:t>
        </m:r>
        <m:r>
          <m:t>p</m:t>
        </m:r>
        <m:r>
          <m:t>t</m:t>
        </m:r>
        <m:r>
          <m:t>o</m:t>
        </m:r>
        <m:r>
          <m:rPr>
            <m:sty m:val="p"/>
          </m:rPr>
          <m:t>*</m:t>
        </m:r>
        <m:r>
          <m:rPr>
            <m:sty m:val="p"/>
          </m:rPr>
          <m:t>*</m:t>
        </m:r>
      </m:oMath>
      <w:r>
        <w:rPr>
          <w:b/>
          <w:bCs/>
        </w:rPr>
        <w:t xml:space="preserve">124/yr per residential customer</w:t>
      </w:r>
      <w:r>
        <w:t xml:space="preserve">) — the political/regulatory sweetener that keeps the model constructive.</w:t>
      </w:r>
    </w:p>
    <w:p>
      <w:pPr>
        <w:pStyle w:val="Compact"/>
        <w:numPr>
          <w:ilvl w:val="0"/>
          <w:numId w:val="1002"/>
        </w:numPr>
      </w:pPr>
      <w:r>
        <w:t xml:space="preserve">A</w:t>
      </w:r>
      <w:r>
        <w:t xml:space="preserve"> </w:t>
      </w:r>
      <w:r>
        <w:rPr>
          <w:b/>
          <w:bCs/>
        </w:rPr>
        <w:t xml:space="preserve">~800 MW initial "pooled" resource</w:t>
      </w:r>
      <w:r>
        <w:t xml:space="preserve"> </w:t>
      </w:r>
      <w:r>
        <w:t xml:space="preserve">construct that scales as customers are added.</w:t>
      </w:r>
    </w:p>
    <w:p>
      <w:pPr>
        <w:pStyle w:val="Compact"/>
        <w:numPr>
          <w:ilvl w:val="0"/>
          <w:numId w:val="1002"/>
        </w:numPr>
      </w:pPr>
      <w:r>
        <w:t xml:space="preserve">Pipeline beyond signed deals:</w:t>
      </w:r>
      <w:r>
        <w:t xml:space="preserve"> </w:t>
      </w:r>
      <w:r>
        <w:rPr>
          <w:b/>
          <w:bCs/>
        </w:rPr>
        <w:t xml:space="preserve">~3 GW in "strategic negotiations"</w:t>
      </w:r>
      <w:r>
        <w:t xml:space="preserve"> </w:t>
      </w:r>
      <w:r>
        <w:t xml:space="preserve">and</w:t>
      </w:r>
      <w:r>
        <w:t xml:space="preserve"> </w:t>
      </w:r>
      <w:r>
        <w:rPr>
          <w:b/>
          <w:bCs/>
        </w:rPr>
        <w:t xml:space="preserve">~2 GW of "developing opportunities"</w:t>
      </w:r>
      <w:r>
        <w:t xml:space="preserve"> </w:t>
      </w:r>
      <w:r>
        <w:t xml:space="preserve">→</w:t>
      </w:r>
      <w:r>
        <w:t xml:space="preserve"> </w:t>
      </w:r>
      <w:r>
        <w:rPr>
          <w:b/>
          <w:bCs/>
        </w:rPr>
        <w:t xml:space="preserve">~9 GW total funnel</w:t>
      </w:r>
      <w:r>
        <w:t xml:space="preserve"> </w:t>
      </w:r>
      <w:r>
        <w:t xml:space="preserve">(which management framed as a milestone, not a ceiling; note references to Microsoft activity in La Porte County).</w:t>
      </w:r>
    </w:p>
    <w:p>
      <w:pPr>
        <w:pStyle w:val="FirstParagraph"/>
      </w:pPr>
      <w:r>
        <w:rPr>
          <w:b/>
          <w:bCs/>
        </w:rPr>
        <w:t xml:space="preserve">GenCo EPS contribution (raised at Q1):</w:t>
      </w:r>
      <w:r>
        <w:t xml:space="preserve"> </w:t>
      </w:r>
      <w:r>
        <w:t xml:space="preserve">now</w:t>
      </w:r>
      <w:r>
        <w:t xml:space="preserve"> </w:t>
      </w:r>
      <m:oMath>
        <m:r>
          <m:t>0.25</m:t>
        </m:r>
        <m:r>
          <m:rPr>
            <m:sty m:val="p"/>
          </m:rPr>
          <m:t>–</m:t>
        </m:r>
      </m:oMath>
      <w:r>
        <w:rPr>
          <w:b/>
          <w:bCs/>
        </w:rPr>
        <w:t xml:space="preserve">0.35 in 2030</w:t>
      </w:r>
      <w:r>
        <w:t xml:space="preserve"> </w:t>
      </w:r>
      <w:r>
        <w:t xml:space="preserve">and</w:t>
      </w:r>
      <w:r>
        <w:t xml:space="preserve"> </w:t>
      </w:r>
      <m:oMath>
        <m:r>
          <m:t>0.40</m:t>
        </m:r>
        <m:r>
          <m:rPr>
            <m:sty m:val="p"/>
          </m:rPr>
          <m:t>–</m:t>
        </m:r>
      </m:oMath>
      <w:r>
        <w:rPr>
          <w:b/>
          <w:bCs/>
        </w:rPr>
        <w:t xml:space="preserve">0.60 in 2033</w:t>
      </w:r>
      <w:r>
        <w:t xml:space="preserve">.</w:t>
      </w:r>
    </w:p>
    <w:p>
      <w:pPr>
        <w:pStyle w:val="BodyText"/>
      </w:pPr>
      <w:r>
        <w:rPr>
          <w:b/>
          <w:bCs/>
        </w:rPr>
        <w:t xml:space="preserve">What to listen for tomorrow:</w:t>
      </w:r>
    </w:p>
    <w:p>
      <w:pPr>
        <w:pStyle w:val="Compact"/>
        <w:numPr>
          <w:ilvl w:val="0"/>
          <w:numId w:val="1003"/>
        </w:numPr>
      </w:pPr>
      <w:r>
        <w:rPr>
          <w:b/>
          <w:bCs/>
        </w:rPr>
        <w:t xml:space="preserve">Any new signed contract</w:t>
      </w:r>
      <w:r>
        <w:t xml:space="preserve"> </w:t>
      </w:r>
      <w:r>
        <w:t xml:space="preserve">or conversion of the 3 GW negotiation bucket — crucially, guidance does</w:t>
      </w:r>
      <w:r>
        <w:t xml:space="preserve"> </w:t>
      </w:r>
      <w:r>
        <w:rPr>
          <w:b/>
          <w:bCs/>
        </w:rPr>
        <w:t xml:space="preserve">NOT</w:t>
      </w:r>
      <w:r>
        <w:t xml:space="preserve"> </w:t>
      </w:r>
      <w:r>
        <w:t xml:space="preserve">yet include the 3 GW; each signing is incremental, bespoke, and non-linear to earnings.</w:t>
      </w:r>
    </w:p>
    <w:p>
      <w:pPr>
        <w:pStyle w:val="Compact"/>
        <w:numPr>
          <w:ilvl w:val="0"/>
          <w:numId w:val="1003"/>
        </w:numPr>
      </w:pPr>
      <w:r>
        <w:t xml:space="preserve">Updated pipeline figures (does the ~9 GW funnel grow?).</w:t>
      </w:r>
    </w:p>
    <w:p>
      <w:pPr>
        <w:pStyle w:val="Compact"/>
        <w:numPr>
          <w:ilvl w:val="0"/>
          <w:numId w:val="1003"/>
        </w:numPr>
      </w:pPr>
      <w:r>
        <w:t xml:space="preserve">"Speed to power" commentary — the differentiator hyperscalers are paying for.</w:t>
      </w:r>
    </w:p>
    <w:p>
      <w:r>
        <w:pict>
          <v:rect style="width:0;height:1.5pt" o:hralign="center" o:hrstd="t" o:hr="t"/>
        </w:pict>
      </w:r>
    </w:p>
    <w:bookmarkEnd w:id="13"/>
    <w:bookmarkStart w:id="14" w:name="X07ed09be4756b454fcd70f6cf426b9619f409aa"/>
    <w:p>
      <w:pPr>
        <w:pStyle w:val="Heading2"/>
      </w:pPr>
      <w:r>
        <w:t xml:space="preserve">4. Regulatory catalysts &amp; watch items</w:t>
      </w:r>
    </w:p>
    <w:p>
      <w:pPr>
        <w:pStyle w:val="Compact"/>
        <w:numPr>
          <w:ilvl w:val="0"/>
          <w:numId w:val="1004"/>
        </w:numPr>
      </w:pPr>
      <w:r>
        <w:rPr>
          <w:b/>
          <w:bCs/>
        </w:rPr>
        <w:t xml:space="preserve">Amazon original contract IURC approval</w:t>
      </w:r>
      <w:r>
        <w:t xml:space="preserve"> </w:t>
      </w:r>
      <w:r>
        <w:t xml:space="preserve">was expected around</w:t>
      </w:r>
      <w:r>
        <w:t xml:space="preserve"> </w:t>
      </w:r>
      <w:r>
        <w:rPr>
          <w:b/>
          <w:bCs/>
        </w:rPr>
        <w:t xml:space="preserve">June 2026</w:t>
      </w:r>
      <w:r>
        <w:t xml:space="preserve"> </w:t>
      </w:r>
      <w:r>
        <w:t xml:space="preserve">— this print should confirm whether that order landed, which then triggers an</w:t>
      </w:r>
      <w:r>
        <w:t xml:space="preserve"> </w:t>
      </w:r>
      <w:r>
        <w:rPr>
          <w:b/>
          <w:bCs/>
        </w:rPr>
        <w:t xml:space="preserve">expedited 90–120 day review</w:t>
      </w:r>
      <w:r>
        <w:t xml:space="preserve"> </w:t>
      </w:r>
      <w:r>
        <w:t xml:space="preserve">for the new Alphabet/Amazon agreements (orders expected later in 2026). This is the single most important regulatory checkpoint.</w:t>
      </w:r>
    </w:p>
    <w:p>
      <w:pPr>
        <w:pStyle w:val="Compact"/>
        <w:numPr>
          <w:ilvl w:val="0"/>
          <w:numId w:val="1004"/>
        </w:numPr>
      </w:pPr>
      <w:r>
        <w:rPr>
          <w:b/>
          <w:bCs/>
        </w:rPr>
        <w:t xml:space="preserve">Indiana HB 1002</w:t>
      </w:r>
      <w:r>
        <w:t xml:space="preserve"> </w:t>
      </w:r>
      <w:r>
        <w:t xml:space="preserve">(levelized billing / ratemaking) and</w:t>
      </w:r>
      <w:r>
        <w:t xml:space="preserve"> </w:t>
      </w:r>
      <w:r>
        <w:rPr>
          <w:b/>
          <w:bCs/>
        </w:rPr>
        <w:t xml:space="preserve">Ohio SB 103</w:t>
      </w:r>
      <w:r>
        <w:t xml:space="preserve"> </w:t>
      </w:r>
      <w:r>
        <w:t xml:space="preserve">— legislative tailwinds to track.</w:t>
      </w:r>
    </w:p>
    <w:p>
      <w:pPr>
        <w:pStyle w:val="Compact"/>
        <w:numPr>
          <w:ilvl w:val="0"/>
          <w:numId w:val="1004"/>
        </w:numPr>
      </w:pPr>
      <w:r>
        <w:rPr>
          <w:b/>
          <w:bCs/>
        </w:rPr>
        <w:t xml:space="preserve">Pennsylvania — Governor Shapiro's letter to utilities:</w:t>
      </w:r>
      <w:r>
        <w:t xml:space="preserve"> </w:t>
      </w:r>
      <w:r>
        <w:t xml:space="preserve">management was still formulating its response at Q1. Watch for updated color on PA rate-case/tracker strategy; this is the most notable regulatory</w:t>
      </w:r>
      <w:r>
        <w:t xml:space="preserve"> </w:t>
      </w:r>
      <w:r>
        <w:rPr>
          <w:i/>
          <w:iCs/>
        </w:rPr>
        <w:t xml:space="preserve">overhang</w:t>
      </w:r>
      <w:r>
        <w:t xml:space="preserve"> </w:t>
      </w:r>
      <w:r>
        <w:t xml:space="preserve">in the base business.</w:t>
      </w:r>
    </w:p>
    <w:p>
      <w:pPr>
        <w:pStyle w:val="Compact"/>
        <w:numPr>
          <w:ilvl w:val="0"/>
          <w:numId w:val="1004"/>
        </w:numPr>
      </w:pPr>
      <w:r>
        <w:rPr>
          <w:b/>
          <w:bCs/>
        </w:rPr>
        <w:t xml:space="preserve">Schahfer coal plant:</w:t>
      </w:r>
      <w:r>
        <w:t xml:space="preserve"> </w:t>
      </w:r>
      <w:r>
        <w:t xml:space="preserve">a second federal 202(c) order requires continued operation. Note management was explicit that Schahfer is a</w:t>
      </w:r>
      <w:r>
        <w:t xml:space="preserve"> </w:t>
      </w:r>
      <w:r>
        <w:rPr>
          <w:b/>
          <w:bCs/>
        </w:rPr>
        <w:t xml:space="preserve">NIPSCO regulated asset, not part of the GenCo pool/PPA</w:t>
      </w:r>
      <w:r>
        <w:t xml:space="preserve"> </w:t>
      </w:r>
      <w:r>
        <w:t xml:space="preserve">— a common point of investor confusion.</w:t>
      </w:r>
    </w:p>
    <w:p>
      <w:r>
        <w:pict>
          <v:rect style="width:0;height:1.5pt" o:hralign="center" o:hrstd="t" o:hr="t"/>
        </w:pict>
      </w:r>
    </w:p>
    <w:bookmarkEnd w:id="14"/>
    <w:bookmarkStart w:id="15" w:name="X98b7b288f7f965be64a0115d2d1ec82cf2e7d8b"/>
    <w:p>
      <w:pPr>
        <w:pStyle w:val="Heading2"/>
      </w:pPr>
      <w:r>
        <w:t xml:space="preserve">5. Balance sheet &amp; financing (the key risk)</w:t>
      </w:r>
    </w:p>
    <w:p>
      <w:pPr>
        <w:pStyle w:val="FirstParagraph"/>
      </w:pPr>
      <w:r>
        <w:t xml:space="preserve">Funding this growth is the primary risk-factor. The plan now carries</w:t>
      </w:r>
      <w:r>
        <w:t xml:space="preserve"> </w:t>
      </w:r>
      <w:r>
        <w:rPr>
          <w:b/>
          <w:bCs/>
        </w:rPr>
        <w:t xml:space="preserve">$21B base capex + $2B upside + $7.6B GenCo</w:t>
      </w:r>
      <w:r>
        <w:t xml:space="preserve">, on top of a broader list of not-yet-included upside (MISO transmission, AMI, PHMSA compliance).</w:t>
      </w:r>
    </w:p>
    <w:p>
      <w:pPr>
        <w:pStyle w:val="Compact"/>
        <w:numPr>
          <w:ilvl w:val="0"/>
          <w:numId w:val="1005"/>
        </w:numPr>
      </w:pPr>
      <w:r>
        <w:rPr>
          <w:b/>
          <w:bCs/>
        </w:rPr>
        <w:t xml:space="preserve">FFO/debt target of 14%–16%</w:t>
      </w:r>
      <w:r>
        <w:t xml:space="preserve"> </w:t>
      </w:r>
      <w:r>
        <w:t xml:space="preserve">reaffirmed in all years.</w:t>
      </w:r>
    </w:p>
    <w:p>
      <w:pPr>
        <w:pStyle w:val="Compact"/>
        <w:numPr>
          <w:ilvl w:val="0"/>
          <w:numId w:val="1005"/>
        </w:numPr>
      </w:pPr>
      <m:oMath>
        <m:r>
          <m:t>400</m:t>
        </m:r>
        <m:r>
          <m:t>M</m:t>
        </m:r>
        <m:r>
          <m:rPr>
            <m:sty m:val="p"/>
          </m:rPr>
          <m:t>–</m:t>
        </m:r>
      </m:oMath>
      <w:r>
        <w:rPr>
          <w:b/>
          <w:bCs/>
        </w:rPr>
        <w:t xml:space="preserve">600M of equity per year</w:t>
      </w:r>
      <w:r>
        <w:t xml:space="preserve"> </w:t>
      </w:r>
      <w:r>
        <w:t xml:space="preserve">via an already-sized ATM (management stressed there's latitude for more within the filed structure).</w:t>
      </w:r>
    </w:p>
    <w:p>
      <w:pPr>
        <w:pStyle w:val="Compact"/>
        <w:numPr>
          <w:ilvl w:val="0"/>
          <w:numId w:val="1005"/>
        </w:numPr>
      </w:pPr>
      <w:r>
        <w:t xml:space="preserve">In</w:t>
      </w:r>
      <w:r>
        <w:t xml:space="preserve"> </w:t>
      </w:r>
      <w:r>
        <w:rPr>
          <w:b/>
          <w:bCs/>
        </w:rPr>
        <w:t xml:space="preserve">May 2026 NiSource completed a $1.25B senior notes offering</w:t>
      </w:r>
      <w:r>
        <w:t xml:space="preserve">.</w:t>
      </w:r>
    </w:p>
    <w:p>
      <w:pPr>
        <w:pStyle w:val="Compact"/>
        <w:numPr>
          <w:ilvl w:val="0"/>
          <w:numId w:val="1005"/>
        </w:numPr>
      </w:pPr>
      <w:r>
        <w:t xml:space="preserve">Watch for: any change to the equity cadence, credit-rating commentary, and reassurance that GenCo remains ring-fenced and capital-light per incremental gigawatt (~$600M capex was cited for ~1 GW of incremental hyperscaler load).</w:t>
      </w:r>
    </w:p>
    <w:p>
      <w:r>
        <w:pict>
          <v:rect style="width:0;height:1.5pt" o:hralign="center" o:hrstd="t" o:hr="t"/>
        </w:pict>
      </w:r>
    </w:p>
    <w:bookmarkEnd w:id="15"/>
    <w:bookmarkStart w:id="16" w:name="Xe79675a8381da40718e8fc0b904b57eeb64faeb"/>
    <w:p>
      <w:pPr>
        <w:pStyle w:val="Heading2"/>
      </w:pPr>
      <w:r>
        <w:t xml:space="preserve">6. Stock setup into the print</w:t>
      </w:r>
    </w:p>
    <w:p>
      <w:pPr>
        <w:pStyle w:val="FirstParagraph"/>
      </w:pPr>
      <w:r>
        <w:t xml:space="preserve">NI has</w:t>
      </w:r>
      <w:r>
        <w:t xml:space="preserve"> </w:t>
      </w:r>
      <w:r>
        <w:rPr>
          <w:b/>
          <w:bCs/>
        </w:rPr>
        <w:t xml:space="preserve">drifted lower into earnings</w:t>
      </w:r>
      <w:r>
        <w:t xml:space="preserve">, closing at</w:t>
      </w:r>
      <w:r>
        <w:t xml:space="preserve"> </w:t>
      </w:r>
      <m:oMath>
        <m:r>
          <m:t>44.54</m:t>
        </m:r>
        <m:r>
          <m:t>o</m:t>
        </m:r>
        <m:r>
          <m:t>n</m:t>
        </m:r>
        <m:r>
          <m:t>A</m:t>
        </m:r>
        <m:r>
          <m:t>u</m:t>
        </m:r>
        <m:r>
          <m:t>g</m:t>
        </m:r>
        <m:r>
          <m:t>4</m:t>
        </m:r>
        <m:r>
          <m:rPr>
            <m:sty m:val="p"/>
          </m:rPr>
          <m:t>*</m:t>
        </m:r>
        <m:r>
          <m:rPr>
            <m:sty m:val="p"/>
          </m:rPr>
          <m:t>*</m:t>
        </m:r>
        <m:r>
          <m:rPr>
            <m:sty m:val="p"/>
          </m:rPr>
          <m:t>,</m:t>
        </m:r>
        <m:r>
          <m:t>d</m:t>
        </m:r>
        <m:r>
          <m:t>o</m:t>
        </m:r>
        <m:r>
          <m:t>w</m:t>
        </m:r>
        <m:r>
          <m:t>n</m:t>
        </m:r>
        <m:r>
          <m:t>r</m:t>
        </m:r>
        <m:r>
          <m:t>o</m:t>
        </m:r>
        <m:r>
          <m:t>u</m:t>
        </m:r>
        <m:r>
          <m:t>g</m:t>
        </m:r>
        <m:r>
          <m:t>h</m:t>
        </m:r>
        <m:r>
          <m:t>l</m:t>
        </m:r>
        <m:r>
          <m:t>y</m:t>
        </m:r>
        <m:r>
          <m:rPr>
            <m:sty m:val="p"/>
          </m:rPr>
          <m:t>*</m:t>
        </m:r>
        <m:r>
          <m:rPr>
            <m:sty m:val="p"/>
          </m:rPr>
          <m:t>*</m:t>
        </m:r>
        <m:r>
          <m:t>9</m:t>
        </m:r>
      </m:oMath>
      <w:r>
        <w:rPr>
          <w:b/>
          <w:bCs/>
        </w:rPr>
        <w:t xml:space="preserve">49)</w:t>
      </w:r>
      <w:r>
        <w:t xml:space="preserve"> </w:t>
      </w:r>
      <w:r>
        <w:t xml:space="preserve">and now only modestly higher than where it started the year (~$42.16). It has broadly tracked the utility complex (XLU) over 2026 but given back its outperformance in the past six weeks.</w:t>
      </w:r>
    </w:p>
    <w:p>
      <w:pPr>
        <w:pStyle w:val="BodyText"/>
      </w:pPr>
      <w:r>
        <w:t xml:space="preserve">Notably, the stock</w:t>
      </w:r>
      <w:r>
        <w:t xml:space="preserve"> </w:t>
      </w:r>
      <w:r>
        <w:rPr>
          <w:b/>
          <w:bCs/>
        </w:rPr>
        <w:t xml:space="preserve">sold off ~3% in the days after the strong Q1 print (guidance raise and all)</w:t>
      </w:r>
      <w:r>
        <w:t xml:space="preserve"> </w:t>
      </w:r>
      <w:r>
        <w:t xml:space="preserve">— a reminder that expectations around GenCo are elevated and that "beat and raise" may not be enough without fresh pipeline conversion. With sentiment cooler and shares near their 2026 lows, the bar into tomorrow may be more forgiving than it was in May.</w:t>
      </w:r>
    </w:p>
    <w:p>
      <w:r>
        <w:pict>
          <v:rect style="width:0;height:1.5pt" o:hralign="center" o:hrstd="t" o:hr="t"/>
        </w:pict>
      </w:r>
    </w:p>
    <w:bookmarkEnd w:id="16"/>
    <w:bookmarkStart w:id="17" w:name="bottom-line--what-would-move-the-stock"/>
    <w:p>
      <w:pPr>
        <w:pStyle w:val="Heading2"/>
      </w:pPr>
      <w:r>
        <w:t xml:space="preserve">Bottom line — what would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w:t>
            </w:r>
          </w:p>
        </w:tc>
        <w:tc>
          <w:tcPr/>
          <w:p>
            <w:pPr>
              <w:pStyle w:val="Compact"/>
            </w:pPr>
            <w:r>
              <w:t xml:space="preserve">Bearish</w:t>
            </w:r>
          </w:p>
        </w:tc>
      </w:tr>
      <w:tr>
        <w:tc>
          <w:tcPr/>
          <w:p>
            <w:pPr>
              <w:pStyle w:val="Compact"/>
            </w:pPr>
            <w:r>
              <w:t xml:space="preserve">New GW signed / 3 GW negotiation bucket converts</w:t>
            </w:r>
          </w:p>
        </w:tc>
        <w:tc>
          <w:tcPr/>
          <w:p>
            <w:pPr>
              <w:pStyle w:val="Compact"/>
            </w:pPr>
            <w:r>
              <w:t xml:space="preserve">Amazon IURC approval slips or PA regulatory response disappoints</w:t>
            </w:r>
          </w:p>
        </w:tc>
      </w:tr>
      <w:tr>
        <w:tc>
          <w:tcPr/>
          <w:p>
            <w:pPr>
              <w:pStyle w:val="Compact"/>
            </w:pPr>
            <w:r>
              <w:t xml:space="preserve">FY guidance narrowed to upper half; base-plan strength</w:t>
            </w:r>
          </w:p>
        </w:tc>
        <w:tc>
          <w:tcPr/>
          <w:p>
            <w:pPr>
              <w:pStyle w:val="Compact"/>
            </w:pPr>
            <w:r>
              <w:t xml:space="preserve">Equity/financing needs stepped up; FFO/debt pressure</w:t>
            </w:r>
          </w:p>
        </w:tc>
      </w:tr>
      <w:tr>
        <w:tc>
          <w:tcPr/>
          <w:p>
            <w:pPr>
              <w:pStyle w:val="Compact"/>
            </w:pPr>
            <w:r>
              <w:t xml:space="preserve">Further GenCo EPS or long-term CAGR uplift</w:t>
            </w:r>
          </w:p>
        </w:tc>
        <w:tc>
          <w:tcPr/>
          <w:p>
            <w:pPr>
              <w:pStyle w:val="Compact"/>
            </w:pPr>
            <w:r>
              <w:t xml:space="preserve">Data-center timeline / MISO accreditation risk flagged</w:t>
            </w:r>
          </w:p>
        </w:tc>
      </w:tr>
      <w:tr>
        <w:tc>
          <w:tcPr/>
          <w:p>
            <w:pPr>
              <w:pStyle w:val="Compact"/>
            </w:pPr>
            <w:r>
              <w:t xml:space="preserve">Bigger, firmer pipeline (&gt;9 GW)</w:t>
            </w:r>
          </w:p>
        </w:tc>
        <w:tc>
          <w:tcPr/>
          <w:p>
            <w:pPr>
              <w:pStyle w:val="Compact"/>
            </w:pPr>
            <w:r>
              <w:t xml:space="preserve">Any softness in core regulated recovery</w:t>
            </w:r>
          </w:p>
        </w:tc>
      </w:tr>
    </w:tbl>
    <w:p>
      <w:pPr>
        <w:pStyle w:val="BodyText"/>
      </w:pPr>
      <w:r>
        <w:t xml:space="preserve">The quarter itself is a formality;</w:t>
      </w:r>
      <w:r>
        <w:t xml:space="preserve"> </w:t>
      </w:r>
      <w:r>
        <w:rPr>
          <w:b/>
          <w:bCs/>
        </w:rPr>
        <w:t xml:space="preserve">the guidance reaffirmation, the Amazon/Alphabet regulatory clock, and any incremental data-center signings are the real report card.</w:t>
      </w:r>
    </w:p>
    <w:p>
      <w:r>
        <w:pict>
          <v:rect style="width:0;height:1.5pt" o:hralign="center" o:hrstd="t" o:hr="t"/>
        </w:pict>
      </w:r>
    </w:p>
    <w:p>
      <w:pPr>
        <w:pStyle w:val="FirstParagraph"/>
      </w:pPr>
      <w:r>
        <w:rPr>
          <w:i/>
          <w:iCs/>
        </w:rPr>
        <w:t xml:space="preserve">Prepared from NiSource's Q1 2026 earnings call and release, Q2 2025 release, recent 8-K/press-release filings, and market data through Aug 4, 2026. This is informational research,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2026-08-05T00:32:37Z</dcterms:created>
  <dcterms:modified xsi:type="dcterms:W3CDTF">2026-08-05T00:32:37Z</dcterms:modified>
</cp:coreProperties>
</file>

<file path=docProps/custom.xml><?xml version="1.0" encoding="utf-8"?>
<Properties xmlns="http://schemas.openxmlformats.org/officeDocument/2006/custom-properties" xmlns:vt="http://schemas.openxmlformats.org/officeDocument/2006/docPropsVTypes"/>
</file>