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i-earnings-predictions--2026-08-05"/>
    <w:p>
      <w:pPr>
        <w:pStyle w:val="Heading1"/>
      </w:pPr>
      <w:r>
        <w:t xml:space="preserve">NI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Consolidated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~$0.14 vs. cons $0.15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~$1.38B vs. cons $1.33B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1H2026 Cumulative Consolidated Adjusted EPS (pace check vs. FY guide)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~$1.20 vs. cons $1.21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2.02</m:t>
              </m:r>
              <m:r>
                <m:rPr>
                  <m:sty m:val="p"/>
                </m:rPr>
                <m:t>−</m:t>
              </m:r>
            </m:oMath>
            <w:r>
              <w:t xml:space="preserve">2.07 (midpoint $2.045) vs. cons $2.05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2026-2033 Consolidated Adjusted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~9%-10% vs. cons 9%-10% (2026-2033 CAGR, raised last quarter)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GenCo-specific EPS accretion target by 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0.25</m:t>
              </m:r>
              <m:r>
                <m:rPr>
                  <m:sty m:val="p"/>
                </m:rPr>
                <m:t>−</m:t>
              </m:r>
            </m:oMath>
            <w:r>
              <w:t xml:space="preserve">0.35 vs. prior guide</w:t>
            </w:r>
            <w:r>
              <w:t xml:space="preserve"> </w:t>
            </w:r>
            <m:oMath>
              <m:r>
                <m:t>0.25</m:t>
              </m:r>
              <m:r>
                <m:rPr>
                  <m:sty m:val="p"/>
                </m:rPr>
                <m:t>−</m:t>
              </m:r>
            </m:oMath>
            <w:r>
              <w:t xml:space="preserve">0.35 (cumulative by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FFO-to-Debt ratio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~14%-16% vs. cons/prior 14%-16% (2026 target)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5-yr Capital Plan (2026-2030, incl. GenCo/data center)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~$28.0B vs. prior</w:t>
            </w:r>
            <w:r>
              <w:t xml:space="preserve"> </w:t>
            </w:r>
            <m:oMath>
              <m:r>
                <m:t>28.0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2026</m:t>
              </m:r>
              <m:r>
                <m:rPr>
                  <m:sty m:val="p"/>
                </m:rPr>
                <m:t>−</m:t>
              </m:r>
              <m:r>
                <m:t>2030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p</m:t>
              </m:r>
              <m:r>
                <m:t>l</m:t>
              </m:r>
              <m:r>
                <m:t>a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t>n</m:t>
              </m:r>
              <m:r>
                <m:t>c</m:t>
              </m:r>
              <m:r>
                <m:t>l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7B data center)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Consensus EPS ($0.15) already reflects deep analyst cuts (KeyCorp to</w:t>
            </w:r>
            <w:r>
              <w:t xml:space="preserve"> </w:t>
            </w:r>
            <m:oMath>
              <m:r>
                <m:t>0.14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e</m:t>
              </m:r>
              <m:r>
                <m:t>g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E</m:t>
              </m:r>
              <m:r>
                <m:t>a</m:t>
              </m:r>
              <m:r>
                <m:t>r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E</m:t>
              </m:r>
              <m:r>
                <m:t>S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a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l</m:t>
              </m:r>
              <m:r>
                <m:t>y</m:t>
              </m:r>
              <m:r>
                <m:t>p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i</m:t>
              </m:r>
              <m:r>
                <m:t>g</m:t>
              </m:r>
              <m:r>
                <m:t>e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;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h</m:t>
              </m:r>
              <m:r>
                <m:t>o</m:t>
              </m:r>
              <m:r>
                <m:t>r</m:t>
              </m:r>
              <m:r>
                <m:t>t</m:t>
              </m:r>
              <m:r>
                <m:t>f</m:t>
              </m:r>
              <m:r>
                <m:t>a</m:t>
              </m:r>
              <m:r>
                <m:t>l</m:t>
              </m:r>
              <m:r>
                <m:t>l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s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b</m:t>
              </m:r>
              <m:r>
                <m:t>y</m:t>
              </m:r>
              <m:r>
                <m:t>f</m:t>
              </m:r>
              <m:r>
                <m:t>i</m:t>
              </m:r>
              <m:r>
                <m:t>n</m:t>
              </m:r>
              <m:r>
                <m:t>a</m:t>
              </m:r>
              <m:r>
                <m:t>n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G</m:t>
              </m:r>
              <m:r>
                <m:t>e</m:t>
              </m:r>
              <m:r>
                <m:t>n</m:t>
              </m:r>
              <m:r>
                <m:t>C</m:t>
              </m:r>
              <m:r>
                <m:t>o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l</m:t>
              </m:r>
              <m:r>
                <m:t>o</m:t>
              </m:r>
              <m:r>
                <m:t>p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r</m:t>
              </m:r>
              <m:r>
                <m:t>a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a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p</m:t>
              </m:r>
              <m:r>
                <m:t>r</m:t>
              </m:r>
              <m:r>
                <m:t>o</m:t>
              </m:r>
              <m:r>
                <m:t>b</m:t>
              </m:r>
              <m:r>
                <m:t>l</m:t>
              </m:r>
              <m:r>
                <m:t>e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</m:oMath>
            <w:r>
              <w:t xml:space="preserve">2.02-2.07) plus the 9-10% long-term CAGR are expected to be reaffirmed. That should let analysts true-up 2H26 quarterly phasing (out-period math) without cutting full-year numbers, capping further downside revisions; absent a new negative regulatory or GenCo data point (e.g., PA rate-case friction), the stock should stabilize near its day-1 level rather than see sustained follow-through selling or a sharp reversal/fade.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2026-08-05T00:37:39Z</dcterms:created>
  <dcterms:modified xsi:type="dcterms:W3CDTF">2026-08-05T00:37:39Z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