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Xf24f1c44681be5c0da6d8b2f92b0e0ddbc3bb45"/>
    <w:p>
      <w:pPr>
        <w:pStyle w:val="Heading1"/>
      </w:pPr>
      <w:r>
        <w:t xml:space="preserve">NiSource Inc. (NYSE: NI) — Q2 2026 Earnings Preview</w:t>
      </w:r>
    </w:p>
    <w:p>
      <w:pPr>
        <w:pStyle w:val="FirstParagraph"/>
      </w:pPr>
      <w:r>
        <w:rPr>
          <w:b/>
          <w:bCs/>
        </w:rPr>
        <w:t xml:space="preserve">Report Date:</w:t>
      </w:r>
      <w:r>
        <w:t xml:space="preserve"> </w:t>
      </w:r>
      <w:r>
        <w:t xml:space="preserve">Wednesday, August 5, 2026 (before market open) |</w:t>
      </w:r>
      <w:r>
        <w:t xml:space="preserve"> </w:t>
      </w:r>
      <w:r>
        <w:rPr>
          <w:b/>
          <w:bCs/>
        </w:rPr>
        <w:t xml:space="preserve">Event:</w:t>
      </w:r>
      <w:r>
        <w:t xml:space="preserve"> </w:t>
      </w:r>
      <w:r>
        <w:t xml:space="preserve">2026Q2 Earnings Call</w:t>
      </w:r>
    </w:p>
    <w:p>
      <w:r>
        <w:pict>
          <v:rect style="width:0;height:1.5pt" o:hralign="center" o:hrstd="t" o:hr="t"/>
        </w:pict>
      </w:r>
    </w:p>
    <w:bookmarkStart w:id="9" w:name="X194ab8e2521784801330fd738b1788006b9282f"/>
    <w:p>
      <w:pPr>
        <w:pStyle w:val="Heading2"/>
      </w:pPr>
      <w:r>
        <w:t xml:space="preserve">1. Setup Into the Quarter</w:t>
      </w:r>
    </w:p>
    <w:p>
      <w:pPr>
        <w:pStyle w:val="FirstParagraph"/>
      </w:pPr>
      <w:r>
        <w:t xml:space="preserve">NI shares have drifted from roughly</w:t>
      </w:r>
      <w:r>
        <w:t xml:space="preserve"> </w:t>
      </w:r>
      <m:oMath>
        <m:r>
          <m:t>48</m:t>
        </m:r>
        <m:r>
          <m:t>i</m:t>
        </m:r>
        <m:r>
          <m:t>n</m:t>
        </m:r>
        <m:r>
          <m:t>e</m:t>
        </m:r>
        <m:r>
          <m:t>a</m:t>
        </m:r>
        <m:r>
          <m:t>r</m:t>
        </m:r>
        <m:r>
          <m:t>l</m:t>
        </m:r>
        <m:r>
          <m:t>y</m:t>
        </m:r>
        <m:r>
          <m:t>M</m:t>
        </m:r>
        <m:r>
          <m:t>a</m:t>
        </m:r>
        <m:r>
          <m:t>y</m:t>
        </m:r>
        <m:r>
          <m:t>d</m:t>
        </m:r>
        <m:r>
          <m:t>o</m:t>
        </m:r>
        <m:r>
          <m:t>w</m:t>
        </m:r>
        <m:r>
          <m:t>n</m:t>
        </m:r>
        <m:r>
          <m:t>t</m:t>
        </m:r>
        <m:r>
          <m:t>o</m:t>
        </m:r>
        <m:r>
          <m:t>a</m:t>
        </m:r>
        <m:r>
          <m:t>b</m:t>
        </m:r>
        <m:r>
          <m:t>o</m:t>
        </m:r>
        <m:r>
          <m:t>u</m:t>
        </m:r>
        <m:r>
          <m:t>t</m:t>
        </m:r>
        <m:r>
          <m:rPr>
            <m:sty m:val="p"/>
          </m:rPr>
          <m:t>*</m:t>
        </m:r>
        <m:r>
          <m:rPr>
            <m:sty m:val="p"/>
          </m:rPr>
          <m:t>*</m:t>
        </m:r>
      </m:oMath>
      <w:r>
        <w:t xml:space="preserve">44.50** heading into the print — a decline of nearly 8% since the Q1 report, even as the company raised its long-term growth outlook. The stock trades at a rich multiple versus history, and sell-side sentiment is mixed-to-positive: RBC initiated with an Outperform and $52 target, Evercore has a $52 target, KeyCorp is Overweight at $50, while Citigroup is Neutral with a $49 target.</w:t>
      </w:r>
    </w:p>
    <w:p>
      <w:pPr>
        <w:pStyle w:val="BodyText"/>
      </w:pPr>
      <w:r>
        <w:rPr>
          <w:b/>
          <w:bCs/>
        </w:rPr>
        <w:t xml:space="preserve">Consensus expectations are soft on a headline basis.</w:t>
      </w:r>
      <w:r>
        <w:t xml:space="preserve"> </w:t>
      </w:r>
      <w:r>
        <w:t xml:space="preserve">Estimates cluster in the</w:t>
      </w:r>
      <w:r>
        <w:t xml:space="preserve"> </w:t>
      </w:r>
      <m:oMath>
        <m:r>
          <m:t>0.14</m:t>
        </m:r>
        <m:r>
          <m:rPr>
            <m:sty m:val="p"/>
          </m:rPr>
          <m:t>–</m:t>
        </m:r>
      </m:oMath>
      <w:r>
        <w:rPr>
          <w:b/>
          <w:bCs/>
        </w:rPr>
        <w:t xml:space="preserve">0.19</w:t>
      </w:r>
      <w:r>
        <w:t xml:space="preserve"> </w:t>
      </w:r>
      <w:r>
        <w:t xml:space="preserve">range for adjusted EPS, implying a</w:t>
      </w:r>
      <w:r>
        <w:t xml:space="preserve"> </w:t>
      </w:r>
      <w:r>
        <w:rPr>
          <w:b/>
          <w:bCs/>
        </w:rPr>
        <w:t xml:space="preserve">23%–32% year-over-year decline</w:t>
      </w:r>
      <w:r>
        <w:t xml:space="preserve"> </w:t>
      </w:r>
      <w:r>
        <w:t xml:space="preserve">from the $0.22 NiSource earned in Q2 2025. KeyCorp trimmed its estimate to $0.14 (from $0.17) in late July, while other estimates sit closer to</w:t>
      </w:r>
      <w:r>
        <w:t xml:space="preserve"> </w:t>
      </w:r>
      <m:oMath>
        <m:r>
          <m:t>0.17</m:t>
        </m:r>
        <m:r>
          <m:rPr>
            <m:sty m:val="p"/>
          </m:rPr>
          <m:t>–</m:t>
        </m:r>
      </m:oMath>
      <w:r>
        <w:t xml:space="preserve">0.19. Full-year consensus remains anchored at</w:t>
      </w:r>
      <w:r>
        <w:t xml:space="preserve"> </w:t>
      </w:r>
      <m:oMath>
        <m:r>
          <m:t>2.05</m:t>
        </m:r>
        <m:r>
          <m:rPr>
            <m:sty m:val="p"/>
          </m:rPr>
          <m:t>*</m:t>
        </m:r>
        <m:r>
          <m:rPr>
            <m:sty m:val="p"/>
          </m:rPr>
          <m:t>*</m:t>
        </m:r>
        <m:r>
          <m:rPr>
            <m:sty m:val="p"/>
          </m:rPr>
          <m:t>,</m:t>
        </m:r>
        <m:r>
          <m:t>e</m:t>
        </m:r>
        <m:r>
          <m:t>s</m:t>
        </m:r>
        <m:r>
          <m:t>s</m:t>
        </m:r>
        <m:r>
          <m:t>e</m:t>
        </m:r>
        <m:r>
          <m:t>n</m:t>
        </m:r>
        <m:r>
          <m:t>t</m:t>
        </m:r>
        <m:r>
          <m:t>i</m:t>
        </m:r>
        <m:r>
          <m:t>a</m:t>
        </m:r>
        <m:r>
          <m:t>l</m:t>
        </m:r>
        <m:r>
          <m:t>l</m:t>
        </m:r>
        <m:r>
          <m:t>y</m:t>
        </m:r>
        <m:r>
          <m:t>i</m:t>
        </m:r>
        <m:r>
          <m:t>n</m:t>
        </m:r>
        <m:r>
          <m:t>l</m:t>
        </m:r>
        <m:r>
          <m:t>i</m:t>
        </m:r>
        <m:r>
          <m:t>n</m:t>
        </m:r>
        <m:r>
          <m:t>e</m:t>
        </m:r>
        <m:r>
          <m:t>w</m:t>
        </m:r>
        <m:r>
          <m:t>i</m:t>
        </m:r>
        <m:r>
          <m:t>t</m:t>
        </m:r>
        <m:r>
          <m:t>h</m:t>
        </m:r>
        <m:r>
          <m:t>m</m:t>
        </m:r>
        <m:r>
          <m:t>a</m:t>
        </m:r>
        <m:r>
          <m:t>n</m:t>
        </m:r>
        <m:r>
          <m:t>a</m:t>
        </m:r>
        <m:r>
          <m:t>g</m:t>
        </m:r>
        <m:r>
          <m:t>e</m:t>
        </m:r>
        <m:r>
          <m:t>m</m:t>
        </m:r>
        <m:r>
          <m:t>e</m:t>
        </m:r>
        <m:r>
          <m:t>n</m:t>
        </m:r>
        <m:sSup>
          <m:e>
            <m:r>
              <m:t>t</m:t>
            </m:r>
          </m:e>
          <m:sup>
            <m:r>
              <m:rPr>
                <m:sty m:val="p"/>
              </m:rPr>
              <m:t>′</m:t>
            </m:r>
          </m:sup>
        </m:sSup>
        <m:r>
          <m:t>s</m:t>
        </m:r>
        <m:r>
          <m:rPr>
            <m:sty m:val="p"/>
          </m:rPr>
          <m:t>*</m:t>
        </m:r>
        <m:r>
          <m:rPr>
            <m:sty m:val="p"/>
          </m:rPr>
          <m:t>*</m:t>
        </m:r>
      </m:oMath>
      <w:r>
        <w:rPr>
          <w:b/>
          <w:bCs/>
        </w:rPr>
        <w:t xml:space="preserve">2.02–$2.07 guidance range</w:t>
      </w:r>
      <w:r>
        <w:t xml:space="preserve">.</w:t>
      </w:r>
    </w:p>
    <w:p>
      <w:pPr>
        <w:pStyle w:val="BodyText"/>
      </w:pPr>
      <w:r>
        <w:t xml:space="preserve">Investors should not read too much into the Q2 EPS decline in isolation — Q2 is seasonally NiSource's lightest quarter (heating season has ended and peak cooling demand hasn't yet arrived), and the company noted that</w:t>
      </w:r>
      <w:r>
        <w:t xml:space="preserve"> </w:t>
      </w:r>
      <w:r>
        <w:rPr>
          <w:b/>
          <w:bCs/>
        </w:rPr>
        <w:t xml:space="preserve">Q1 alone delivered 52% of the full-year guidance midpoint</w:t>
      </w:r>
      <w:r>
        <w:t xml:space="preserve">, meaning the remaining three quarters need to contribute roughly $0.98 combined. A weak Q2 print is consistent with normal seasonal cadence rather than a fundamental deterioration, but the magnitude of the expected drop (partly against a base-plan/consolidated-EPS reporting change and additional share count/interest expense from recent financing) will be worth reconciling on the call.</w:t>
      </w:r>
    </w:p>
    <w:bookmarkEnd w:id="9"/>
    <w:bookmarkStart w:id="10" w:name="Xcfe87751833d9d516b27373ee6be549c360dd54"/>
    <w:p>
      <w:pPr>
        <w:pStyle w:val="Heading2"/>
      </w:pPr>
      <w:r>
        <w:t xml:space="preserve">2. Recap: Where Q1 Left Off</w:t>
      </w:r>
    </w:p>
    <w:p>
      <w:pPr>
        <w:pStyle w:val="FirstParagraph"/>
      </w:pPr>
      <w:r>
        <w:t xml:space="preserve">NiSource's Q1 2026 print set an encouraging tone:</w:t>
      </w:r>
    </w:p>
    <w:p>
      <w:pPr>
        <w:pStyle w:val="Compact"/>
        <w:numPr>
          <w:ilvl w:val="0"/>
          <w:numId w:val="1001"/>
        </w:numPr>
      </w:pPr>
      <w:r>
        <w:t xml:space="preserve">Consolidated adjusted EPS of $1.06, up from $0.98 a year earlier (+8% YoY), driven by regulatory execution and recovery of 2025 capital investments.</w:t>
      </w:r>
    </w:p>
    <w:p>
      <w:pPr>
        <w:pStyle w:val="Compact"/>
        <w:numPr>
          <w:ilvl w:val="0"/>
          <w:numId w:val="1001"/>
        </w:numPr>
      </w:pPr>
      <w:r>
        <w:t xml:space="preserve">Management</w:t>
      </w:r>
      <w:r>
        <w:t xml:space="preserve"> </w:t>
      </w:r>
      <w:r>
        <w:rPr>
          <w:b/>
          <w:bCs/>
        </w:rPr>
        <w:t xml:space="preserve">reaffirmed 2026 consolidated adjusted EPS guidance of</w:t>
      </w:r>
      <w:r>
        <w:rPr>
          <w:b/>
          <w:bCs/>
        </w:rPr>
        <w:t xml:space="preserve"> </w:t>
      </w:r>
      <m:oMath>
        <m:r>
          <m:t>2.02</m:t>
        </m:r>
        <m:r>
          <m:rPr>
            <m:sty m:val="p"/>
          </m:rPr>
          <m:t>–</m:t>
        </m:r>
      </m:oMath>
      <w:r>
        <w:rPr>
          <w:b/>
          <w:bCs/>
        </w:rPr>
        <w:t xml:space="preserve">2.07</w:t>
      </w:r>
      <w:r>
        <w:t xml:space="preserve"> </w:t>
      </w:r>
      <w:r>
        <w:t xml:space="preserve">and</w:t>
      </w:r>
      <w:r>
        <w:t xml:space="preserve"> </w:t>
      </w:r>
      <w:r>
        <w:rPr>
          <w:b/>
          <w:bCs/>
        </w:rPr>
        <w:t xml:space="preserve">raised the 2023–2033 EPS CAGR by 100bps to 9%–10%</w:t>
      </w:r>
      <w:r>
        <w:t xml:space="preserve">, with growth tracking toward the high end of that range through 2030.</w:t>
      </w:r>
    </w:p>
    <w:p>
      <w:pPr>
        <w:pStyle w:val="Compact"/>
        <w:numPr>
          <w:ilvl w:val="0"/>
          <w:numId w:val="1001"/>
        </w:numPr>
      </w:pPr>
      <w:r>
        <w:t xml:space="preserve">The company introduced a new reporting convention splitting</w:t>
      </w:r>
      <w:r>
        <w:t xml:space="preserve"> </w:t>
      </w:r>
      <w:r>
        <w:rPr>
          <w:b/>
          <w:bCs/>
        </w:rPr>
        <w:t xml:space="preserve">"base plan" adjusted EPS</w:t>
      </w:r>
      <w:r>
        <w:t xml:space="preserve"> </w:t>
      </w:r>
      <w:r>
        <w:t xml:space="preserve">from</w:t>
      </w:r>
      <w:r>
        <w:t xml:space="preserve"> </w:t>
      </w:r>
      <w:r>
        <w:rPr>
          <w:b/>
          <w:bCs/>
        </w:rPr>
        <w:t xml:space="preserve">"consolidated adjusted EPS"</w:t>
      </w:r>
      <w:r>
        <w:t xml:space="preserve"> </w:t>
      </w:r>
      <w:r>
        <w:t xml:space="preserve">(base plan plus GenCo/data-center contributions), reflecting the growing—but still early-stage—earnings contribution from data-center deals.</w:t>
      </w:r>
    </w:p>
    <w:bookmarkEnd w:id="10"/>
    <w:bookmarkStart w:id="11" w:name="Xb336f777dc1989ed6272cbc40dc4b23b0475123"/>
    <w:p>
      <w:pPr>
        <w:pStyle w:val="Heading2"/>
      </w:pPr>
      <w:r>
        <w:t xml:space="preserve">3. The Big Story: GenCo and the Data Center Pipeline</w:t>
      </w:r>
    </w:p>
    <w:p>
      <w:pPr>
        <w:pStyle w:val="FirstParagraph"/>
      </w:pPr>
      <w:r>
        <w:t xml:space="preserve">The dominant theme for NI all year has been its</w:t>
      </w:r>
      <w:r>
        <w:t xml:space="preserve"> </w:t>
      </w:r>
      <w:r>
        <w:rPr>
          <w:b/>
          <w:bCs/>
        </w:rPr>
        <w:t xml:space="preserve">GenCo</w:t>
      </w:r>
      <w:r>
        <w:t xml:space="preserve"> </w:t>
      </w:r>
      <w:r>
        <w:t xml:space="preserve">model — a ring-fenced structure that lets NIPSCO serve hyperscale data-center load through bespoke, cost-recovered contracts while insulating retail customers from the associated risk and cost.</w:t>
      </w:r>
    </w:p>
    <w:p>
      <w:pPr>
        <w:pStyle w:val="BodyText"/>
      </w:pPr>
      <w:r>
        <w:t xml:space="preserve">Key developments since Q1 that should feature prominently on the call:</w:t>
      </w:r>
    </w:p>
    <w:p>
      <w:pPr>
        <w:pStyle w:val="Compact"/>
        <w:numPr>
          <w:ilvl w:val="0"/>
          <w:numId w:val="1002"/>
        </w:numPr>
      </w:pPr>
      <w:r>
        <w:rPr>
          <w:b/>
          <w:bCs/>
        </w:rPr>
        <w:t xml:space="preserve">IURC approval (announced June 23, 2026):</w:t>
      </w:r>
      <w:r>
        <w:t xml:space="preserve"> </w:t>
      </w:r>
      <w:r>
        <w:t xml:space="preserve">The Indiana Utility Regulatory Commission fully approved the settlement agreement, Amazon special contract, and related power purchase agreement, along with generation resources including combined-cycle gas turbines and battery storage — clearing a major regulatory hurdle for the original Amazon partnership.</w:t>
      </w:r>
    </w:p>
    <w:p>
      <w:pPr>
        <w:pStyle w:val="Compact"/>
        <w:numPr>
          <w:ilvl w:val="0"/>
          <w:numId w:val="1002"/>
        </w:numPr>
      </w:pPr>
      <w:r>
        <w:t xml:space="preserve">An</w:t>
      </w:r>
      <w:r>
        <w:t xml:space="preserve"> </w:t>
      </w:r>
      <w:r>
        <w:rPr>
          <w:b/>
          <w:bCs/>
        </w:rPr>
        <w:t xml:space="preserve">incremental 400 MW Amazon expansion</w:t>
      </w:r>
      <w:r>
        <w:t xml:space="preserve"> </w:t>
      </w:r>
      <w:r>
        <w:t xml:space="preserve">and a</w:t>
      </w:r>
      <w:r>
        <w:t xml:space="preserve"> </w:t>
      </w:r>
      <w:r>
        <w:rPr>
          <w:b/>
          <w:bCs/>
        </w:rPr>
        <w:t xml:space="preserve">new 340 MW Alphabet agreement</w:t>
      </w:r>
      <w:r>
        <w:t xml:space="preserve"> </w:t>
      </w:r>
      <w:r>
        <w:t xml:space="preserve">were both layered on during Q1/Q2, pushing total customer savings tied to GenCo contracts to roughly</w:t>
      </w:r>
      <w:r>
        <w:t xml:space="preserve"> </w:t>
      </w:r>
      <w:r>
        <w:rPr>
          <w:b/>
          <w:bCs/>
        </w:rPr>
        <w:t xml:space="preserve">$1.4 billion</w:t>
      </w:r>
      <w:r>
        <w:t xml:space="preserve"> </w:t>
      </w:r>
      <w:r>
        <w:t xml:space="preserve">over 15 years (about $124/year per residential customer).</w:t>
      </w:r>
    </w:p>
    <w:p>
      <w:pPr>
        <w:pStyle w:val="Compact"/>
        <w:numPr>
          <w:ilvl w:val="0"/>
          <w:numId w:val="1002"/>
        </w:numPr>
      </w:pPr>
      <w:r>
        <w:t xml:space="preserve">Management raised</w:t>
      </w:r>
      <w:r>
        <w:t xml:space="preserve"> </w:t>
      </w:r>
      <w:r>
        <w:rPr>
          <w:b/>
          <w:bCs/>
        </w:rPr>
        <w:t xml:space="preserve">GenCo-specific EPS accretion guidance</w:t>
      </w:r>
      <w:r>
        <w:t xml:space="preserve">:</w:t>
      </w:r>
      <w:r>
        <w:t xml:space="preserve"> </w:t>
      </w:r>
      <m:oMath>
        <m:r>
          <m:t>0.25</m:t>
        </m:r>
        <m:r>
          <m:rPr>
            <m:sty m:val="p"/>
          </m:rPr>
          <m:t>–</m:t>
        </m:r>
      </m:oMath>
      <w:r>
        <w:t xml:space="preserve">0.35 by 2030 (up from prior levels) and</w:t>
      </w:r>
      <w:r>
        <w:t xml:space="preserve"> </w:t>
      </w:r>
      <m:oMath>
        <m:r>
          <m:t>0.40</m:t>
        </m:r>
        <m:r>
          <m:rPr>
            <m:sty m:val="p"/>
          </m:rPr>
          <m:t>–</m:t>
        </m:r>
      </m:oMath>
      <w:r>
        <w:t xml:space="preserve">0.60 by 2033.</w:t>
      </w:r>
    </w:p>
    <w:p>
      <w:pPr>
        <w:pStyle w:val="Compact"/>
        <w:numPr>
          <w:ilvl w:val="0"/>
          <w:numId w:val="1002"/>
        </w:numPr>
      </w:pPr>
      <w:r>
        <w:t xml:space="preserve">The pipeline remains large: as of Q1, NiSource had roughly 4 GW of signed capacity, another 3 GW in "strategic negotiations," and ~2 GW of "developing opportunities" — none of which is embedded in current guidance.</w:t>
      </w:r>
    </w:p>
    <w:p>
      <w:pPr>
        <w:pStyle w:val="FirstParagraph"/>
      </w:pPr>
      <w:r>
        <w:rPr>
          <w:b/>
          <w:bCs/>
        </w:rPr>
        <w:t xml:space="preserve">What to watch:</w:t>
      </w:r>
      <w:r>
        <w:t xml:space="preserve"> </w:t>
      </w:r>
      <w:r>
        <w:t xml:space="preserve">further contract signings, updates on the Amazon/Alphabet construction timeline (initial Amazon power targeted for January 2027, phased through 2032), and any additional color on how quickly the 3 GW negotiation bucket converts to signed contracts.</w:t>
      </w:r>
    </w:p>
    <w:bookmarkEnd w:id="11"/>
    <w:bookmarkStart w:id="12" w:name="Xba4d53ff44744d981de40adc6ae0c5d086d9cc9"/>
    <w:p>
      <w:pPr>
        <w:pStyle w:val="Heading2"/>
      </w:pPr>
      <w:r>
        <w:t xml:space="preserve">4. Regulatory Watch Items</w:t>
      </w:r>
    </w:p>
    <w:p>
      <w:pPr>
        <w:pStyle w:val="Compact"/>
        <w:numPr>
          <w:ilvl w:val="0"/>
          <w:numId w:val="1003"/>
        </w:numPr>
      </w:pPr>
      <w:r>
        <w:rPr>
          <w:b/>
          <w:bCs/>
        </w:rPr>
        <w:t xml:space="preserve">Pennsylvania:</w:t>
      </w:r>
      <w:r>
        <w:t xml:space="preserve"> </w:t>
      </w:r>
      <w:r>
        <w:t xml:space="preserve">Governor Shapiro sent a letter to 24 utility CEOs in late April demanding tighter scrutiny of rate-case requests (more debt in capital structure, transparent cost-benefit analysis, affordability benchmarks), following his successful pressure campaign against PECO's rate hike. NiSource management said on the Q1 call it is "actively engaged" with PA stakeholders and evaluating alternatives such as capital trackers rather than traditional base rate cases — investors should listen for an updated regulatory strategy in that state.</w:t>
      </w:r>
    </w:p>
    <w:p>
      <w:pPr>
        <w:pStyle w:val="Compact"/>
        <w:numPr>
          <w:ilvl w:val="0"/>
          <w:numId w:val="1003"/>
        </w:numPr>
      </w:pPr>
      <w:r>
        <w:rPr>
          <w:b/>
          <w:bCs/>
        </w:rPr>
        <w:t xml:space="preserve">Indiana/Ohio legislative support:</w:t>
      </w:r>
      <w:r>
        <w:t xml:space="preserve"> </w:t>
      </w:r>
      <w:r>
        <w:t xml:space="preserve">House Bill 1002 (Indiana, levelized billing) and Ohio Senate Bill 103 continue to be cited as constructive tailwinds for cost recovery and customer affordability.</w:t>
      </w:r>
    </w:p>
    <w:p>
      <w:pPr>
        <w:pStyle w:val="Compact"/>
        <w:numPr>
          <w:ilvl w:val="0"/>
          <w:numId w:val="1003"/>
        </w:numPr>
      </w:pPr>
      <w:r>
        <w:rPr>
          <w:b/>
          <w:bCs/>
        </w:rPr>
        <w:t xml:space="preserve">Schahfer coal plant:</w:t>
      </w:r>
      <w:r>
        <w:t xml:space="preserve"> </w:t>
      </w:r>
      <w:r>
        <w:t xml:space="preserve">A second federal Section 202(c) order requires continued operation of the Schahfer coal units; management has said these remain NIPSCO (retail) assets, not part of the GenCo pool, with costs recovered through FERC processes — a modest cost/complexity overhang to track.</w:t>
      </w:r>
    </w:p>
    <w:bookmarkEnd w:id="12"/>
    <w:bookmarkStart w:id="13" w:name="X72041cb85fd68f66a4ff6971e4b366b177315d1"/>
    <w:p>
      <w:pPr>
        <w:pStyle w:val="Heading2"/>
      </w:pPr>
      <w:r>
        <w:t xml:space="preserve">5. Balance Sheet and Financing</w:t>
      </w:r>
    </w:p>
    <w:p>
      <w:pPr>
        <w:pStyle w:val="FirstParagraph"/>
      </w:pPr>
      <w:r>
        <w:t xml:space="preserve">NiSource completed a</w:t>
      </w:r>
      <w:r>
        <w:t xml:space="preserve"> </w:t>
      </w:r>
      <m:oMath>
        <m:r>
          <m:t>1.25</m:t>
        </m:r>
        <m:r>
          <m:t>b</m:t>
        </m:r>
        <m:r>
          <m:t>i</m:t>
        </m:r>
        <m:r>
          <m:t>l</m:t>
        </m:r>
        <m:r>
          <m:t>l</m:t>
        </m:r>
        <m:r>
          <m:t>i</m:t>
        </m:r>
        <m:r>
          <m:t>o</m:t>
        </m:r>
        <m:r>
          <m:t>n</m:t>
        </m:r>
        <m:r>
          <m:t>s</m:t>
        </m:r>
        <m:r>
          <m:t>e</m:t>
        </m:r>
        <m:r>
          <m:t>n</m:t>
        </m:r>
        <m:r>
          <m:t>i</m:t>
        </m:r>
        <m:r>
          <m:t>o</m:t>
        </m:r>
        <m:r>
          <m:t>r</m:t>
        </m:r>
        <m:r>
          <m:t>n</m:t>
        </m:r>
        <m:r>
          <m:t>o</m:t>
        </m:r>
        <m:r>
          <m:t>t</m:t>
        </m:r>
        <m:r>
          <m:t>e</m:t>
        </m:r>
        <m:r>
          <m:t>s</m:t>
        </m:r>
        <m:r>
          <m:t>o</m:t>
        </m:r>
        <m:r>
          <m:t>f</m:t>
        </m:r>
        <m:r>
          <m:t>f</m:t>
        </m:r>
        <m:r>
          <m:t>e</m:t>
        </m:r>
        <m:r>
          <m:t>r</m:t>
        </m:r>
        <m:r>
          <m:t>i</m:t>
        </m:r>
        <m:r>
          <m:t>n</m:t>
        </m:r>
        <m:r>
          <m:t>g</m:t>
        </m:r>
        <m:r>
          <m:rPr>
            <m:sty m:val="p"/>
          </m:rPr>
          <m:t>*</m:t>
        </m:r>
        <m:r>
          <m:rPr>
            <m:sty m:val="p"/>
          </m:rPr>
          <m:t>*</m:t>
        </m:r>
        <m:r>
          <m:t>i</m:t>
        </m:r>
        <m:r>
          <m:t>n</m:t>
        </m:r>
        <m:r>
          <m:t>m</m:t>
        </m:r>
        <m:r>
          <m:t>i</m:t>
        </m:r>
        <m:r>
          <m:t>d</m:t>
        </m:r>
        <m:r>
          <m:rPr>
            <m:sty m:val="p"/>
          </m:rPr>
          <m:t>−</m:t>
        </m:r>
        <m:r>
          <m:t>M</m:t>
        </m:r>
        <m:r>
          <m:t>a</m:t>
        </m:r>
        <m:r>
          <m:t>y</m:t>
        </m:r>
        <m:r>
          <m:rPr>
            <m:sty m:val="p"/>
          </m:rPr>
          <m:t>,</m:t>
        </m:r>
        <m:r>
          <m:t>p</m:t>
        </m:r>
        <m:r>
          <m:t>a</m:t>
        </m:r>
        <m:r>
          <m:t>r</m:t>
        </m:r>
        <m:r>
          <m:t>t</m:t>
        </m:r>
        <m:r>
          <m:t>o</m:t>
        </m:r>
        <m:r>
          <m:t>f</m:t>
        </m:r>
        <m:r>
          <m:t>t</m:t>
        </m:r>
        <m:r>
          <m:t>h</m:t>
        </m:r>
        <m:r>
          <m:t>e</m:t>
        </m:r>
        <m:r>
          <m:t>f</m:t>
        </m:r>
        <m:r>
          <m:t>u</m:t>
        </m:r>
        <m:r>
          <m:t>n</m:t>
        </m:r>
        <m:r>
          <m:t>d</m:t>
        </m:r>
        <m:r>
          <m:t>i</m:t>
        </m:r>
        <m:r>
          <m:t>n</m:t>
        </m:r>
        <m:r>
          <m:t>g</m:t>
        </m:r>
        <m:r>
          <m:t>p</m:t>
        </m:r>
        <m:r>
          <m:t>l</m:t>
        </m:r>
        <m:r>
          <m:t>a</m:t>
        </m:r>
        <m:r>
          <m:t>n</m:t>
        </m:r>
        <m:r>
          <m:t>s</m:t>
        </m:r>
        <m:r>
          <m:t>u</m:t>
        </m:r>
        <m:r>
          <m:t>p</m:t>
        </m:r>
        <m:r>
          <m:t>p</m:t>
        </m:r>
        <m:r>
          <m:t>o</m:t>
        </m:r>
        <m:r>
          <m:t>r</m:t>
        </m:r>
        <m:r>
          <m:t>t</m:t>
        </m:r>
        <m:r>
          <m:t>i</m:t>
        </m:r>
        <m:r>
          <m:t>n</m:t>
        </m:r>
        <m:r>
          <m:t>g</m:t>
        </m:r>
        <m:r>
          <m:t>a</m:t>
        </m:r>
        <m:r>
          <m:t>c</m:t>
        </m:r>
        <m:r>
          <m:t>a</m:t>
        </m:r>
        <m:r>
          <m:t>p</m:t>
        </m:r>
        <m:r>
          <m:t>i</m:t>
        </m:r>
        <m:r>
          <m:t>t</m:t>
        </m:r>
        <m:r>
          <m:t>a</m:t>
        </m:r>
        <m:r>
          <m:t>l</m:t>
        </m:r>
        <m:r>
          <m:t>p</m:t>
        </m:r>
        <m:r>
          <m:t>r</m:t>
        </m:r>
        <m:r>
          <m:t>o</m:t>
        </m:r>
        <m:r>
          <m:t>g</m:t>
        </m:r>
        <m:r>
          <m:t>r</m:t>
        </m:r>
        <m:r>
          <m:t>a</m:t>
        </m:r>
        <m:r>
          <m:t>m</m:t>
        </m:r>
        <m:r>
          <m:t>t</m:t>
        </m:r>
        <m:r>
          <m:t>h</m:t>
        </m:r>
        <m:r>
          <m:t>a</m:t>
        </m:r>
        <m:r>
          <m:t>t</m:t>
        </m:r>
        <m:r>
          <m:t>n</m:t>
        </m:r>
        <m:r>
          <m:t>o</m:t>
        </m:r>
        <m:r>
          <m:t>w</m:t>
        </m:r>
        <m:r>
          <m:t>t</m:t>
        </m:r>
        <m:r>
          <m:t>o</m:t>
        </m:r>
        <m:r>
          <m:t>t</m:t>
        </m:r>
        <m:r>
          <m:t>a</m:t>
        </m:r>
        <m:r>
          <m:t>l</m:t>
        </m:r>
        <m:r>
          <m:t>s</m:t>
        </m:r>
        <m:r>
          <m:rPr>
            <m:sty m:val="p"/>
          </m:rPr>
          <m:t>*</m:t>
        </m:r>
        <m:r>
          <m:rPr>
            <m:sty m:val="p"/>
          </m:rPr>
          <m:t>*</m:t>
        </m:r>
      </m:oMath>
      <w:r>
        <w:rPr>
          <w:b/>
          <w:bCs/>
        </w:rPr>
        <w:t xml:space="preserve">21 billion in base capex plus $7.6 billion in GenCo/data-center capex</w:t>
      </w:r>
      <w:r>
        <w:t xml:space="preserve"> </w:t>
      </w:r>
      <w:r>
        <w:t xml:space="preserve">over five years (an incremental</w:t>
      </w:r>
      <w:r>
        <w:t xml:space="preserve"> </w:t>
      </w:r>
      <m:oMath>
        <m:r>
          <m:t>600</m:t>
        </m:r>
        <m:r>
          <m:t>m</m:t>
        </m:r>
        <m:r>
          <m:t>i</m:t>
        </m:r>
        <m:r>
          <m:t>l</m:t>
        </m:r>
        <m:r>
          <m:t>l</m:t>
        </m:r>
        <m:r>
          <m:t>i</m:t>
        </m:r>
        <m:r>
          <m:t>o</m:t>
        </m:r>
        <m:r>
          <m:t>n</m:t>
        </m:r>
        <m:r>
          <m:t>i</m:t>
        </m:r>
        <m:r>
          <m:t>n</m:t>
        </m:r>
        <m:r>
          <m:t>c</m:t>
        </m:r>
        <m:r>
          <m:t>r</m:t>
        </m:r>
        <m:r>
          <m:t>e</m:t>
        </m:r>
        <m:r>
          <m:t>a</m:t>
        </m:r>
        <m:r>
          <m:t>s</m:t>
        </m:r>
        <m:r>
          <m:t>e</m:t>
        </m:r>
        <m:r>
          <m:t>d</m:t>
        </m:r>
        <m:r>
          <m:t>i</m:t>
        </m:r>
        <m:r>
          <m:t>s</m:t>
        </m:r>
        <m:r>
          <m:t>c</m:t>
        </m:r>
        <m:r>
          <m:t>l</m:t>
        </m:r>
        <m:r>
          <m:t>o</m:t>
        </m:r>
        <m:r>
          <m:t>s</m:t>
        </m:r>
        <m:r>
          <m:t>e</m:t>
        </m:r>
        <m:r>
          <m:t>d</m:t>
        </m:r>
        <m:r>
          <m:t>i</m:t>
        </m:r>
        <m:r>
          <m:t>n</m:t>
        </m:r>
        <m:r>
          <m:t>Q</m:t>
        </m:r>
        <m:r>
          <m:t>1</m:t>
        </m:r>
        <m:r>
          <m:rPr>
            <m:sty m:val="p"/>
          </m:rPr>
          <m:t>)</m:t>
        </m:r>
        <m:r>
          <m:rPr>
            <m:sty m:val="p"/>
          </m:rPr>
          <m:t>.</m:t>
        </m:r>
        <m:r>
          <m:t>T</m:t>
        </m:r>
        <m:r>
          <m:t>h</m:t>
        </m:r>
        <m:r>
          <m:t>e</m:t>
        </m:r>
        <m:r>
          <m:t>c</m:t>
        </m:r>
        <m:r>
          <m:t>o</m:t>
        </m:r>
        <m:r>
          <m:t>m</m:t>
        </m:r>
        <m:r>
          <m:t>p</m:t>
        </m:r>
        <m:r>
          <m:t>a</m:t>
        </m:r>
        <m:r>
          <m:t>n</m:t>
        </m:r>
        <m:r>
          <m:t>y</m:t>
        </m:r>
        <m:r>
          <m:t>r</m:t>
        </m:r>
        <m:r>
          <m:t>e</m:t>
        </m:r>
        <m:r>
          <m:t>a</m:t>
        </m:r>
        <m:r>
          <m:t>f</m:t>
        </m:r>
        <m:r>
          <m:t>f</m:t>
        </m:r>
        <m:r>
          <m:t>i</m:t>
        </m:r>
        <m:r>
          <m:t>r</m:t>
        </m:r>
        <m:r>
          <m:t>m</m:t>
        </m:r>
        <m:r>
          <m:t>e</m:t>
        </m:r>
        <m:r>
          <m:t>d</m:t>
        </m:r>
        <m:r>
          <m:rPr>
            <m:sty m:val="p"/>
          </m:rPr>
          <m:t>*</m:t>
        </m:r>
        <m:r>
          <m:rPr>
            <m:sty m:val="p"/>
          </m:rPr>
          <m:t>*</m:t>
        </m:r>
        <m:r>
          <m:t>14</m:t>
        </m:r>
      </m:oMath>
      <w:r>
        <w:t xml:space="preserve">400–$600 million of annual equity issuance** via its ATM program. Watch for any commentary on incremental financing needs as the data-center capital plan scales, plus rating-agency reaction.</w:t>
      </w:r>
    </w:p>
    <w:bookmarkEnd w:id="13"/>
    <w:bookmarkStart w:id="14" w:name="X833ef5e76cbc271ffe19cc815c63c3378f6f64c"/>
    <w:p>
      <w:pPr>
        <w:pStyle w:val="Heading2"/>
      </w:pPr>
      <w:r>
        <w:t xml:space="preserve">6. Key Questions for the Call</w:t>
      </w:r>
    </w:p>
    <w:p>
      <w:pPr>
        <w:pStyle w:val="Compact"/>
        <w:numPr>
          <w:ilvl w:val="0"/>
          <w:numId w:val="1004"/>
        </w:numPr>
      </w:pPr>
      <w:r>
        <w:rPr>
          <w:b/>
          <w:bCs/>
        </w:rPr>
        <w:t xml:space="preserve">Bridge the EPS decline:</w:t>
      </w:r>
      <w:r>
        <w:t xml:space="preserve"> </w:t>
      </w:r>
      <w:r>
        <w:t xml:space="preserve">Why does consensus point to a 25–30% YoY drop in Q2 EPS despite reaffirmed full-year guidance and Q1 outperformance? How much is timing/seasonality vs. dilution from GenCo-related spend, higher interest expense, or share count growth?</w:t>
      </w:r>
    </w:p>
    <w:p>
      <w:pPr>
        <w:pStyle w:val="Compact"/>
        <w:numPr>
          <w:ilvl w:val="0"/>
          <w:numId w:val="1004"/>
        </w:numPr>
      </w:pPr>
      <w:r>
        <w:rPr>
          <w:b/>
          <w:bCs/>
        </w:rPr>
        <w:t xml:space="preserve">GenCo monetization pace:</w:t>
      </w:r>
      <w:r>
        <w:t xml:space="preserve"> </w:t>
      </w:r>
      <w:r>
        <w:t xml:space="preserve">Updated status on converting the ~3 GW "strategic negotiations" pipeline into signed contracts, and any new counterparties beyond Amazon and Alphabet.</w:t>
      </w:r>
    </w:p>
    <w:p>
      <w:pPr>
        <w:pStyle w:val="Compact"/>
        <w:numPr>
          <w:ilvl w:val="0"/>
          <w:numId w:val="1004"/>
        </w:numPr>
      </w:pPr>
      <w:r>
        <w:rPr>
          <w:b/>
          <w:bCs/>
        </w:rPr>
        <w:t xml:space="preserve">Pennsylvania strategy:</w:t>
      </w:r>
      <w:r>
        <w:t xml:space="preserve"> </w:t>
      </w:r>
      <w:r>
        <w:t xml:space="preserve">Concrete next steps in response to the Shapiro letter — will NiSource pivot toward tracker-based recovery mechanisms instead of traditional base-rate cases?</w:t>
      </w:r>
    </w:p>
    <w:p>
      <w:pPr>
        <w:pStyle w:val="Compact"/>
        <w:numPr>
          <w:ilvl w:val="0"/>
          <w:numId w:val="1004"/>
        </w:numPr>
      </w:pPr>
      <w:r>
        <w:rPr>
          <w:b/>
          <w:bCs/>
        </w:rPr>
        <w:t xml:space="preserve">O&amp;M discipline:</w:t>
      </w:r>
      <w:r>
        <w:t xml:space="preserve"> </w:t>
      </w:r>
      <w:r>
        <w:t xml:space="preserve">Management has committed to holding O&amp;M "steady" through the plan period — any update on cost trends given inflation and the scale-up of data-center-related operations.</w:t>
      </w:r>
    </w:p>
    <w:p>
      <w:pPr>
        <w:pStyle w:val="Compact"/>
        <w:numPr>
          <w:ilvl w:val="0"/>
          <w:numId w:val="1004"/>
        </w:numPr>
      </w:pPr>
      <w:r>
        <w:rPr>
          <w:b/>
          <w:bCs/>
        </w:rPr>
        <w:t xml:space="preserve">Weather/customer usage:</w:t>
      </w:r>
      <w:r>
        <w:t xml:space="preserve"> </w:t>
      </w:r>
      <w:r>
        <w:t xml:space="preserve">Given the swing factors embedded in adjusted EPS reconciliations (weather-normalization adjustments were meaningful in both Q1 2026 and Q2 2025), how did weather affect the quarter, and what does normalized underlying growth look like?</w:t>
      </w:r>
    </w:p>
    <w:p>
      <w:pPr>
        <w:pStyle w:val="Compact"/>
        <w:numPr>
          <w:ilvl w:val="0"/>
          <w:numId w:val="1004"/>
        </w:numPr>
      </w:pPr>
      <w:r>
        <w:rPr>
          <w:b/>
          <w:bCs/>
        </w:rPr>
        <w:t xml:space="preserve">Dividend:</w:t>
      </w:r>
      <w:r>
        <w:t xml:space="preserve"> </w:t>
      </w:r>
      <w:r>
        <w:t xml:space="preserve">The quarterly dividend remains $0.30/share (paid August 20 to holders of record July 31); watch for any commentary on the dividend growth trajectory alongside the higher long-term EPS CAGR.</w:t>
      </w:r>
    </w:p>
    <w:bookmarkEnd w:id="14"/>
    <w:bookmarkStart w:id="15" w:name="X7a3bbf556adfc11a6000f5b234b318bdc6ae48e"/>
    <w:p>
      <w:pPr>
        <w:pStyle w:val="Heading2"/>
      </w:pPr>
      <w:r>
        <w:t xml:space="preserve">7. Bottom Line</w:t>
      </w:r>
    </w:p>
    <w:p>
      <w:pPr>
        <w:pStyle w:val="FirstParagraph"/>
      </w:pPr>
      <w:r>
        <w:t xml:space="preserve">Going into the print, NI's core investment thesis is intact and arguably strengthening: a fully regulated, six-state utility footprint layered with a differentiated, capital-light data-center growth vector (GenCo) that management has repeatedly said is structured to protect both retail customers and shareholders. The raised long-term EPS CAGR (9%–10% through 2033) and expanding, de-risked data-center backlog are the bull case. The near-term risk is optical: a soft headline Q2 EPS number versus a tough prior-year comp, layered onto genuine regulatory friction points (Pennsylvania's affordability push, Schahfer compliance costs) that warrant monitoring. Absent a change to full-year guidance, a Q2 "miss" driven by seasonality/financing costs should be less important than management's commentary on GenCo contract conversion and regulatory strategy in Pennsylvania and Indiana.</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2026-08-05T00:37:39Z</dcterms:created>
  <dcterms:modified xsi:type="dcterms:W3CDTF">2026-08-05T00:37:39Z</dcterms:modified>
</cp:coreProperties>
</file>

<file path=docProps/custom.xml><?xml version="1.0" encoding="utf-8"?>
<Properties xmlns="http://schemas.openxmlformats.org/officeDocument/2006/custom-properties" xmlns:vt="http://schemas.openxmlformats.org/officeDocument/2006/docPropsVTypes"/>
</file>