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i-earnings-predictions--2026-08-05"/>
    <w:p>
      <w:pPr>
        <w:pStyle w:val="Heading1"/>
      </w:pPr>
      <w:r>
        <w:t xml:space="preserve">NI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~$0.23 vs. cons $0.22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~$1.28B vs. cons $1.21B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net income available to common shareholders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~$111M vs. cons $106M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~$2.045 vs. cons $2.05 (FY2026 midpoint)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~$5.4B vs. cons $5.4B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adjusted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~9.5% vs. cons 9.5% (2026-2033 midpoint)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Existing-customer data-center asset cost estimate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~$9.5B vs. cons $9.5B (Amazon and Alphabet program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(STABILIZE)</w:t>
            </w:r>
          </w:p>
        </w:tc>
        <w:tc>
          <w:tcPr/>
          <w:p>
            <w:pPr>
              <w:pStyle w:val="Compact"/>
            </w:pPr>
            <w:r>
              <w:t xml:space="preserve">A modest EPS beat of ~$0.23 vs.</w:t>
            </w:r>
            <w:r>
              <w:t xml:space="preserve"> </w:t>
            </w:r>
            <m:oMath>
              <m:r>
                <m:t>0.22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h</m:t>
              </m:r>
              <m:r>
                <m:t>e</m:t>
              </m:r>
              <m:r>
                <m:t>l</m:t>
              </m:r>
              <m:r>
                <m:t>p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2.045 vs. $2.05 consensus leaves little room for upward revisions; unchanged GenCo cost and schedule assumptions should prevent a material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2026-08-05T00:35:54Z</dcterms:created>
  <dcterms:modified xsi:type="dcterms:W3CDTF">2026-08-05T00:35:54Z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