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7" w:name="X93fefc595f9e4cf1fe337891852f5d14b5f6a09"/>
    <w:p>
      <w:pPr>
        <w:pStyle w:val="Heading1"/>
      </w:pPr>
      <w:r>
        <w:t xml:space="preserve">NiSource (NYSE: NI) — Q2 2026 Earnings Preview</w:t>
      </w:r>
    </w:p>
    <w:p>
      <w:pPr>
        <w:pStyle w:val="BlockText"/>
      </w:pPr>
      <w:r>
        <w:rPr>
          <w:b/>
          <w:bCs/>
        </w:rPr>
        <w:t xml:space="preserve">Timing clarification:</w:t>
      </w:r>
      <w:r>
        <w:t xml:space="preserve"> </w:t>
      </w:r>
      <w:r>
        <w:t xml:space="preserve">NiSource is scheduled to report</w:t>
      </w:r>
      <w:r>
        <w:t xml:space="preserve"> </w:t>
      </w:r>
      <w:r>
        <w:rPr>
          <w:b/>
          <w:bCs/>
        </w:rPr>
        <w:t xml:space="preserve">today, Wednesday, August 5, 2026</w:t>
      </w:r>
      <w:r>
        <w:t xml:space="preserve">, before the U.S. market opens—not tomorrow. The conference call is scheduled for</w:t>
      </w:r>
      <w:r>
        <w:t xml:space="preserve"> </w:t>
      </w:r>
      <w:r>
        <w:rPr>
          <w:b/>
          <w:bCs/>
        </w:rPr>
        <w:t xml:space="preserve">11:00 a.m. ET</w:t>
      </w:r>
      <w:r>
        <w:t xml:space="preserve">. (</w:t>
      </w:r>
      <w:hyperlink r:id="rId9">
        <w:r>
          <w:rPr>
            <w:rStyle w:val="Hyperlink"/>
          </w:rPr>
          <w:t xml:space="preserve">investors.nisource.com</w:t>
        </w:r>
      </w:hyperlink>
      <w:r>
        <w:t xml:space="preserve">)</w:t>
      </w:r>
    </w:p>
    <w:bookmarkStart w:id="11" w:name="investment-view-going-into-the-print"/>
    <w:p>
      <w:pPr>
        <w:pStyle w:val="Heading2"/>
      </w:pPr>
      <w:r>
        <w:t xml:space="preserve">Investment view going into the print</w:t>
      </w:r>
    </w:p>
    <w:p>
      <w:pPr>
        <w:pStyle w:val="FirstParagraph"/>
      </w:pPr>
      <w:r>
        <w:t xml:space="preserve">This quarter is less about whether NiSource beats a relatively small seasonal EPS estimate and more about whether management can</w:t>
      </w:r>
      <w:r>
        <w:t xml:space="preserve"> </w:t>
      </w:r>
      <w:r>
        <w:rPr>
          <w:b/>
          <w:bCs/>
        </w:rPr>
        <w:t xml:space="preserve">convert its newly approved data-center contracts into a credible, financeable construction plan</w:t>
      </w:r>
      <w:r>
        <w:t xml:space="preserve">.</w:t>
      </w:r>
    </w:p>
    <w:p>
      <w:pPr>
        <w:pStyle w:val="BodyText"/>
      </w:pPr>
      <w:r>
        <w:t xml:space="preserve">The key positive development since Q1 is regulatory de-risking: Indiana regulators approved the original Amazon contract and associated GenCo arrangements on June 17, approved the principal Amazon generation resources the same day, and approved the Alphabet contract and pooled-resource structure on July 27. (</w:t>
      </w:r>
      <w:hyperlink r:id="rId10">
        <w:r>
          <w:rPr>
            <w:rStyle w:val="Hyperlink"/>
          </w:rPr>
          <w:t xml:space="preserve">in.gov</w:t>
        </w:r>
      </w:hyperlink>
      <w:r>
        <w:t xml:space="preserve">)</w:t>
      </w:r>
    </w:p>
    <w:p>
      <w:pPr>
        <w:pStyle w:val="BodyText"/>
      </w:pPr>
      <w:r>
        <w:t xml:space="preserve">Accordingly, investors should focus on four questions:</w:t>
      </w:r>
    </w:p>
    <w:p>
      <w:pPr>
        <w:pStyle w:val="Compact"/>
        <w:numPr>
          <w:ilvl w:val="0"/>
          <w:numId w:val="1001"/>
        </w:numPr>
      </w:pPr>
      <w:r>
        <w:t xml:space="preserve">Is 2026 EPS guidance secure despite higher interest and operating costs?</w:t>
      </w:r>
    </w:p>
    <w:p>
      <w:pPr>
        <w:pStyle w:val="Compact"/>
        <w:numPr>
          <w:ilvl w:val="0"/>
          <w:numId w:val="1001"/>
        </w:numPr>
      </w:pPr>
      <w:r>
        <w:t xml:space="preserve">Are Amazon and Alphabet construction, procurement and energization milestones on schedule?</w:t>
      </w:r>
    </w:p>
    <w:p>
      <w:pPr>
        <w:pStyle w:val="Compact"/>
        <w:numPr>
          <w:ilvl w:val="0"/>
          <w:numId w:val="1001"/>
        </w:numPr>
      </w:pPr>
      <w:r>
        <w:t xml:space="preserve">Has the cost or financing requirement for GenCo increased?</w:t>
      </w:r>
    </w:p>
    <w:p>
      <w:pPr>
        <w:pStyle w:val="Compact"/>
        <w:numPr>
          <w:ilvl w:val="0"/>
          <w:numId w:val="1001"/>
        </w:numPr>
      </w:pPr>
      <w:r>
        <w:t xml:space="preserve">Can NiSource advance additional large-load contracts without materially increasing equity dilution or credit risk?</w:t>
      </w:r>
    </w:p>
    <w:p>
      <w:r>
        <w:pict>
          <v:rect style="width:0;height:1.5pt" o:hralign="center" o:hrstd="t" o:hr="t"/>
        </w:pict>
      </w:r>
    </w:p>
    <w:bookmarkEnd w:id="11"/>
    <w:bookmarkStart w:id="13" w:name="headline-expectations"/>
    <w:p>
      <w:pPr>
        <w:pStyle w:val="Heading2"/>
      </w:pPr>
      <w:r>
        <w:t xml:space="preserve">Headline expectations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Going-in reference point</w:t>
            </w:r>
          </w:p>
        </w:tc>
      </w:tr>
      <w:tr>
        <w:tc>
          <w:tcPr/>
          <w:p>
            <w:pPr>
              <w:pStyle w:val="Compact"/>
            </w:pPr>
            <w:r>
              <w:t xml:space="preserve">Q2 adjusted EPS estimate</w:t>
            </w:r>
          </w:p>
        </w:tc>
        <w:tc>
          <w:tcPr/>
          <w:p>
            <w:pPr>
              <w:pStyle w:val="Compact"/>
              <w:jc w:val="right"/>
            </w:pPr>
            <w:r>
              <w:t xml:space="preserve">Approximately</w:t>
            </w:r>
            <w:r>
              <w:t xml:space="preserve"> </w:t>
            </w:r>
            <w:r>
              <w:rPr>
                <w:b/>
                <w:bCs/>
              </w:rPr>
              <w:t xml:space="preserve">$0.22</w:t>
            </w:r>
          </w:p>
        </w:tc>
      </w:tr>
      <w:tr>
        <w:tc>
          <w:tcPr/>
          <w:p>
            <w:pPr>
              <w:pStyle w:val="Compact"/>
            </w:pPr>
            <w:r>
              <w:t xml:space="preserve">Q2 2025 adjusted EPS</w:t>
            </w:r>
          </w:p>
        </w:tc>
        <w:tc>
          <w:tcPr/>
          <w:p>
            <w:pPr>
              <w:pStyle w:val="Compact"/>
              <w:jc w:val="right"/>
            </w:pPr>
            <w:r>
              <w:rPr>
                <w:b/>
                <w:bCs/>
              </w:rPr>
              <w:t xml:space="preserve">$0.22</w:t>
            </w:r>
          </w:p>
        </w:tc>
      </w:tr>
      <w:tr>
        <w:tc>
          <w:tcPr/>
          <w:p>
            <w:pPr>
              <w:pStyle w:val="Compact"/>
            </w:pPr>
            <w:r>
              <w:t xml:space="preserve">2026 adjusted EPS guidance</w:t>
            </w:r>
          </w:p>
        </w:tc>
        <w:tc>
          <w:tcPr/>
          <w:p>
            <w:pPr>
              <w:pStyle w:val="Compact"/>
              <w:jc w:val="right"/>
            </w:pPr>
            <m:oMath>
              <m:r>
                <m:t>2.02</m:t>
              </m:r>
              <m:r>
                <m:rPr>
                  <m:sty m:val="p"/>
                </m:rPr>
                <m:t>–</m:t>
              </m:r>
            </m:oMath>
            <w:r>
              <w:rPr>
                <w:b/>
                <w:bCs/>
              </w:rPr>
              <w:t xml:space="preserve">2.07</w:t>
            </w:r>
          </w:p>
        </w:tc>
      </w:tr>
      <w:tr>
        <w:tc>
          <w:tcPr/>
          <w:p>
            <w:pPr>
              <w:pStyle w:val="Compact"/>
            </w:pPr>
            <w:r>
              <w:t xml:space="preserve">Long-term adjusted EPS CAGR</w:t>
            </w:r>
          </w:p>
        </w:tc>
        <w:tc>
          <w:tcPr/>
          <w:p>
            <w:pPr>
              <w:pStyle w:val="Compact"/>
              <w:jc w:val="right"/>
            </w:pPr>
            <w:r>
              <w:rPr>
                <w:b/>
                <w:bCs/>
              </w:rPr>
              <w:t xml:space="preserve">9%–10% through 2033</w:t>
            </w:r>
          </w:p>
        </w:tc>
      </w:tr>
      <w:tr>
        <w:tc>
          <w:tcPr/>
          <w:p>
            <w:pPr>
              <w:pStyle w:val="Compact"/>
            </w:pPr>
            <w:r>
              <w:t xml:space="preserve">August 4 closing price</w:t>
            </w:r>
          </w:p>
        </w:tc>
        <w:tc>
          <w:tcPr/>
          <w:p>
            <w:pPr>
              <w:pStyle w:val="Compact"/>
              <w:jc w:val="right"/>
            </w:pPr>
            <w:r>
              <w:rPr>
                <w:b/>
                <w:bCs/>
              </w:rPr>
              <w:t xml:space="preserve">$44.54</w:t>
            </w:r>
          </w:p>
        </w:tc>
      </w:tr>
      <w:tr>
        <w:tc>
          <w:tcPr/>
          <w:p>
            <w:pPr>
              <w:pStyle w:val="Compact"/>
            </w:pPr>
            <w:r>
              <w:t xml:space="preserve">Implied P/E on 2026 guidance midpoint</w:t>
            </w:r>
          </w:p>
        </w:tc>
        <w:tc>
          <w:tcPr/>
          <w:p>
            <w:pPr>
              <w:pStyle w:val="Compact"/>
              <w:jc w:val="right"/>
            </w:pPr>
            <w:r>
              <w:t xml:space="preserve">Approximately</w:t>
            </w:r>
            <w:r>
              <w:t xml:space="preserve"> </w:t>
            </w:r>
            <w:r>
              <w:rPr>
                <w:b/>
                <w:bCs/>
              </w:rPr>
              <w:t xml:space="preserve">21.8x</w:t>
            </w:r>
          </w:p>
        </w:tc>
      </w:tr>
    </w:tbl>
    <w:p>
      <w:pPr>
        <w:pStyle w:val="BodyText"/>
      </w:pPr>
      <w:r>
        <w:t xml:space="preserve">The public estimate carried by Benzinga is $0.22 per share, although estimate aggregators differ. Last year's Q2 adjusted EPS was also $0.22. NiSource earned $1.06 in Q1, reflecting the strong winter seasonality of its gas utilities, so investors should not extrapolate Q2's absolute earnings level across the year. (</w:t>
      </w:r>
      <w:hyperlink r:id="rId12">
        <w:r>
          <w:rPr>
            <w:rStyle w:val="Hyperlink"/>
          </w:rPr>
          <w:t xml:space="preserve">benzinga.com</w:t>
        </w:r>
      </w:hyperlink>
      <w:r>
        <w:t xml:space="preserve">)</w:t>
      </w:r>
    </w:p>
    <w:p>
      <w:pPr>
        <w:pStyle w:val="BodyText"/>
      </w:pPr>
      <w:r>
        <w:t xml:space="preserve">At $44.54, the shares trade at roughly 21.8 times the $2.045 midpoint of 2026 guidance. The stock has declined approximately 6% since the Q1 reporting date, leaving somewhat less demanding expectations but still a valuation that requires confidence in NiSource's elevated long-term growth rate.</w:t>
      </w:r>
    </w:p>
    <w:p>
      <w:r>
        <w:pict>
          <v:rect style="width:0;height:1.5pt" o:hralign="center" o:hrstd="t" o:hr="t"/>
        </w:pict>
      </w:r>
    </w:p>
    <w:bookmarkEnd w:id="13"/>
    <w:bookmarkStart w:id="17" w:name="Xe2c1edce8cc6f476e42f2dd37bd6afe7a07a58d"/>
    <w:p>
      <w:pPr>
        <w:pStyle w:val="Heading2"/>
      </w:pPr>
      <w:r>
        <w:t xml:space="preserve">1. Full-year guidance matters more than the quarterly beat</w:t>
      </w:r>
    </w:p>
    <w:p>
      <w:pPr>
        <w:pStyle w:val="FirstParagraph"/>
      </w:pPr>
      <w:r>
        <w:t xml:space="preserve">NiSource entered Q2 in a strong position. Q1 adjusted EPS of $1.06 was up from $0.98 and represented approximately 52% of the midpoint of full-year guidance. Management reaffirmed</w:t>
      </w:r>
      <w:r>
        <w:t xml:space="preserve"> </w:t>
      </w:r>
      <m:oMath>
        <m:r>
          <m:t>2.02</m:t>
        </m:r>
        <m:r>
          <m:rPr>
            <m:sty m:val="p"/>
          </m:rPr>
          <m:t>–</m:t>
        </m:r>
      </m:oMath>
      <w:r>
        <w:t xml:space="preserve">2.07 and raised the 2026–2033 consolidated adjusted EPS growth target to 9%–10%, primarily reflecting signed data-center opportunities. (</w:t>
      </w:r>
      <w:hyperlink r:id="rId14">
        <w:r>
          <w:rPr>
            <w:rStyle w:val="Hyperlink"/>
          </w:rPr>
          <w:t xml:space="preserve">investors.nisource.com</w:t>
        </w:r>
      </w:hyperlink>
      <w:r>
        <w:t xml:space="preserve">)</w:t>
      </w:r>
    </w:p>
    <w:p>
      <w:pPr>
        <w:pStyle w:val="BodyText"/>
      </w:pPr>
      <w:r>
        <w:t xml:space="preserve">The most likely outcome is another</w:t>
      </w:r>
      <w:r>
        <w:t xml:space="preserve"> </w:t>
      </w:r>
      <w:r>
        <w:rPr>
          <w:b/>
          <w:bCs/>
        </w:rPr>
        <w:t xml:space="preserve">guidance reaffirmation</w:t>
      </w:r>
      <w:r>
        <w:t xml:space="preserve">. A guidance increase would be bullish, but investors should not automatically expect one simply because the Amazon and Alphabet approvals arrived: those signed projects were already incorporated into the long-term outlook.</w:t>
      </w:r>
    </w:p>
    <w:bookmarkStart w:id="16" w:name="what-to-watch-in-the-earnings-bridge"/>
    <w:p>
      <w:pPr>
        <w:pStyle w:val="Heading3"/>
      </w:pPr>
      <w:r>
        <w:t xml:space="preserve">What to watch in the earnings bridge</w:t>
      </w:r>
    </w:p>
    <w:p>
      <w:pPr>
        <w:pStyle w:val="Compact"/>
        <w:numPr>
          <w:ilvl w:val="0"/>
          <w:numId w:val="1002"/>
        </w:numPr>
      </w:pPr>
      <w:r>
        <w:rPr>
          <w:b/>
          <w:bCs/>
        </w:rPr>
        <w:t xml:space="preserve">Regulatory revenue:</w:t>
      </w:r>
      <w:r>
        <w:t xml:space="preserve"> </w:t>
      </w:r>
      <w:r>
        <w:t xml:space="preserve">Q1 benefited from rates associated with prior capital investment. The final step of NIPSCO's electric rate increase became effective in March, while Columbia of Pennsylvania's new rates took effect in January. These should support year-over-year earnings.</w:t>
      </w:r>
    </w:p>
    <w:p>
      <w:pPr>
        <w:pStyle w:val="Compact"/>
        <w:numPr>
          <w:ilvl w:val="0"/>
          <w:numId w:val="1002"/>
        </w:numPr>
      </w:pPr>
      <w:r>
        <w:rPr>
          <w:b/>
          <w:bCs/>
        </w:rPr>
        <w:t xml:space="preserve">O&amp;M discipline:</w:t>
      </w:r>
      <w:r>
        <w:t xml:space="preserve"> </w:t>
      </w:r>
      <w:r>
        <w:t xml:space="preserve">Q1 operation and maintenance expense increased meaningfully, including higher outside-services spending. Management has committed to holding O&amp;M broadly steady over the planning period, making Q2 cost performance important.</w:t>
      </w:r>
    </w:p>
    <w:p>
      <w:pPr>
        <w:pStyle w:val="Compact"/>
        <w:numPr>
          <w:ilvl w:val="0"/>
          <w:numId w:val="1002"/>
        </w:numPr>
      </w:pPr>
      <w:r>
        <w:rPr>
          <w:b/>
          <w:bCs/>
        </w:rPr>
        <w:t xml:space="preserve">Interest expense:</w:t>
      </w:r>
      <w:r>
        <w:t xml:space="preserve"> </w:t>
      </w:r>
      <w:r>
        <w:t xml:space="preserve">Q1 net interest expense rose to $191.6 million from $132.8 million. That is a meaningful offset to rate-base growth and should remain a central issue as capital spending accelerates.</w:t>
      </w:r>
    </w:p>
    <w:p>
      <w:pPr>
        <w:pStyle w:val="Compact"/>
        <w:numPr>
          <w:ilvl w:val="0"/>
          <w:numId w:val="1002"/>
        </w:numPr>
      </w:pPr>
      <w:r>
        <w:rPr>
          <w:b/>
          <w:bCs/>
        </w:rPr>
        <w:t xml:space="preserve">Share dilution:</w:t>
      </w:r>
      <w:r>
        <w:t xml:space="preserve"> </w:t>
      </w:r>
      <w:r>
        <w:t xml:space="preserve">Q1 diluted shares increased to 480.9 million from 472.5 million. Investors should distinguish healthy net-income growth from per-share growth after required equity funding.</w:t>
      </w:r>
    </w:p>
    <w:p>
      <w:pPr>
        <w:pStyle w:val="Compact"/>
        <w:numPr>
          <w:ilvl w:val="0"/>
          <w:numId w:val="1002"/>
        </w:numPr>
      </w:pPr>
      <w:r>
        <w:rPr>
          <w:b/>
          <w:bCs/>
        </w:rPr>
        <w:t xml:space="preserve">Weather and customer usage:</w:t>
      </w:r>
      <w:r>
        <w:t xml:space="preserve"> </w:t>
      </w:r>
      <w:r>
        <w:t xml:space="preserve">Weather-normalization mechanisms reduce, but do not eliminate, earnings variability. Commercial and industrial load trends at NIPSCO are more informative than consolidated revenue, much of which includes pass-through commodity costs. (</w:t>
      </w:r>
      <w:hyperlink r:id="rId15">
        <w:r>
          <w:rPr>
            <w:rStyle w:val="Hyperlink"/>
          </w:rPr>
          <w:t xml:space="preserve">sec.gov</w:t>
        </w:r>
      </w:hyperlink>
      <w:r>
        <w:t xml:space="preserve">)</w:t>
      </w:r>
    </w:p>
    <w:p>
      <w:pPr>
        <w:pStyle w:val="FirstParagraph"/>
      </w:pPr>
      <w:r>
        <w:rPr>
          <w:b/>
          <w:bCs/>
        </w:rPr>
        <w:t xml:space="preserve">Good result:</w:t>
      </w:r>
      <w:r>
        <w:t xml:space="preserve"> </w:t>
      </w:r>
      <w:r>
        <w:t xml:space="preserve">Guidance is reaffirmed with management describing performance as at least on plan, supported by regulatory revenue and controlled O&amp;M.</w:t>
      </w:r>
    </w:p>
    <w:p>
      <w:pPr>
        <w:pStyle w:val="BodyText"/>
      </w:pPr>
      <w:r>
        <w:rPr>
          <w:b/>
          <w:bCs/>
        </w:rPr>
        <w:t xml:space="preserve">Concern:</w:t>
      </w:r>
      <w:r>
        <w:t xml:space="preserve"> </w:t>
      </w:r>
      <w:r>
        <w:t xml:space="preserve">Management needs favorable weather, tax timing or other nonrecurring items to protect guidance while underlying interest and operating costs run above plan.</w:t>
      </w:r>
    </w:p>
    <w:p>
      <w:r>
        <w:pict>
          <v:rect style="width:0;height:1.5pt" o:hralign="center" o:hrstd="t" o:hr="t"/>
        </w:pict>
      </w:r>
    </w:p>
    <w:bookmarkEnd w:id="16"/>
    <w:bookmarkEnd w:id="17"/>
    <w:bookmarkStart w:id="21" w:name="X092cc3142fc16705885497d4931e70a9f3c1a88"/>
    <w:p>
      <w:pPr>
        <w:pStyle w:val="Heading2"/>
      </w:pPr>
      <w:r>
        <w:t xml:space="preserve">2. Amazon and Alphabet have moved from regulatory story to execution story</w:t>
      </w:r>
    </w:p>
    <w:bookmarkStart w:id="18" w:name="amazon"/>
    <w:p>
      <w:pPr>
        <w:pStyle w:val="Heading3"/>
      </w:pPr>
      <w:r>
        <w:t xml:space="preserve">Amazon</w:t>
      </w:r>
    </w:p>
    <w:p>
      <w:pPr>
        <w:pStyle w:val="FirstParagraph"/>
      </w:pPr>
      <w:r>
        <w:t xml:space="preserve">On June 17, the Indiana Utility Regulatory Commission approved the Amazon customer contract, the NIPSCO–GenCo power-purchase agreement, related alternative regulatory plans and depreciation rates. The commission also approved GenCo's requested treatment for two planned 1,300 MW combined-cycle gas facilities and a 400 MW battery system, finding the resources reasonable and necessary for the expected large-load growth. (</w:t>
      </w:r>
      <w:hyperlink r:id="rId10">
        <w:r>
          <w:rPr>
            <w:rStyle w:val="Hyperlink"/>
          </w:rPr>
          <w:t xml:space="preserve">in.gov</w:t>
        </w:r>
      </w:hyperlink>
      <w:r>
        <w:t xml:space="preserve">)</w:t>
      </w:r>
    </w:p>
    <w:p>
      <w:pPr>
        <w:pStyle w:val="BodyText"/>
      </w:pPr>
      <w:r>
        <w:t xml:space="preserve">That removes a major regulatory contingency, but it raises the importance of physical execution. Investors need updates on:</w:t>
      </w:r>
    </w:p>
    <w:p>
      <w:pPr>
        <w:pStyle w:val="Compact"/>
        <w:numPr>
          <w:ilvl w:val="0"/>
          <w:numId w:val="1003"/>
        </w:numPr>
      </w:pPr>
      <w:r>
        <w:t xml:space="preserve">Civil construction and contractor mobilization</w:t>
      </w:r>
    </w:p>
    <w:p>
      <w:pPr>
        <w:pStyle w:val="Compact"/>
        <w:numPr>
          <w:ilvl w:val="0"/>
          <w:numId w:val="1003"/>
        </w:numPr>
      </w:pPr>
      <w:r>
        <w:t xml:space="preserve">Turbine, battery and transmission equipment delivery</w:t>
      </w:r>
    </w:p>
    <w:p>
      <w:pPr>
        <w:pStyle w:val="Compact"/>
        <w:numPr>
          <w:ilvl w:val="0"/>
          <w:numId w:val="1003"/>
        </w:numPr>
      </w:pPr>
      <w:r>
        <w:t xml:space="preserve">Current cost estimates versus budget</w:t>
      </w:r>
    </w:p>
    <w:p>
      <w:pPr>
        <w:pStyle w:val="Compact"/>
        <w:numPr>
          <w:ilvl w:val="0"/>
          <w:numId w:val="1003"/>
        </w:numPr>
      </w:pPr>
      <w:r>
        <w:t xml:space="preserve">Amazon's initial 2027 service schedule</w:t>
      </w:r>
    </w:p>
    <w:p>
      <w:pPr>
        <w:pStyle w:val="Compact"/>
        <w:numPr>
          <w:ilvl w:val="0"/>
          <w:numId w:val="1003"/>
        </w:numPr>
      </w:pPr>
      <w:r>
        <w:t xml:space="preserve">Interim capacity purchases before owned generation is operational</w:t>
      </w:r>
    </w:p>
    <w:p>
      <w:pPr>
        <w:pStyle w:val="Compact"/>
        <w:numPr>
          <w:ilvl w:val="0"/>
          <w:numId w:val="1003"/>
        </w:numPr>
      </w:pPr>
      <w:r>
        <w:t xml:space="preserve">Any changes in MISO capacity-accreditation assumptions</w:t>
      </w:r>
    </w:p>
    <w:bookmarkEnd w:id="18"/>
    <w:bookmarkStart w:id="19" w:name="alphabet"/>
    <w:p>
      <w:pPr>
        <w:pStyle w:val="Heading3"/>
      </w:pPr>
      <w:r>
        <w:t xml:space="preserve">Alphabet</w:t>
      </w:r>
    </w:p>
    <w:p>
      <w:pPr>
        <w:pStyle w:val="FirstParagraph"/>
      </w:pPr>
      <w:r>
        <w:t xml:space="preserve">The IURC approved the Alphabet contract and associated pooled-resource PPA on July 27. The contract has a 15-year term and ramps to 300 MW; NiSource previously expected initial service to begin in summer 2026. The approved arrangement is expected to pass more than $82 million back to existing retail customers through bill credits. (</w:t>
      </w:r>
      <w:hyperlink r:id="rId10">
        <w:r>
          <w:rPr>
            <w:rStyle w:val="Hyperlink"/>
          </w:rPr>
          <w:t xml:space="preserve">in.gov</w:t>
        </w:r>
      </w:hyperlink>
      <w:r>
        <w:t xml:space="preserve">)</w:t>
      </w:r>
    </w:p>
    <w:p>
      <w:pPr>
        <w:pStyle w:val="BodyText"/>
      </w:pPr>
      <w:r>
        <w:t xml:space="preserve">The immediate question is whether service has actually begun. A clear statement that Alphabet was energized on schedule would validate GenCo's “speed to power” proposition. A delay would raise questions about whether the pooled-resource model is as readily executable as advertised.</w:t>
      </w:r>
    </w:p>
    <w:bookmarkEnd w:id="19"/>
    <w:bookmarkStart w:id="20" w:name="what-investors-should-want-to-hear"/>
    <w:p>
      <w:pPr>
        <w:pStyle w:val="Heading3"/>
      </w:pPr>
      <w:r>
        <w:t xml:space="preserve">What investors should want to hear</w:t>
      </w:r>
    </w:p>
    <w:p>
      <w:pPr>
        <w:pStyle w:val="Compact"/>
        <w:numPr>
          <w:ilvl w:val="0"/>
          <w:numId w:val="1004"/>
        </w:numPr>
      </w:pPr>
      <w:r>
        <w:t xml:space="preserve">Amazon and Alphabet remain on their contractual schedules.</w:t>
      </w:r>
    </w:p>
    <w:p>
      <w:pPr>
        <w:pStyle w:val="Compact"/>
        <w:numPr>
          <w:ilvl w:val="0"/>
          <w:numId w:val="1004"/>
        </w:numPr>
      </w:pPr>
      <w:r>
        <w:t xml:space="preserve">No material cost inflation has emerged since Q1.</w:t>
      </w:r>
    </w:p>
    <w:p>
      <w:pPr>
        <w:pStyle w:val="Compact"/>
        <w:numPr>
          <w:ilvl w:val="0"/>
          <w:numId w:val="1004"/>
        </w:numPr>
      </w:pPr>
      <w:r>
        <w:t xml:space="preserve">Contract protections continue to cover incremental capital, purchased capacity and transmission costs.</w:t>
      </w:r>
    </w:p>
    <w:p>
      <w:pPr>
        <w:pStyle w:val="Compact"/>
        <w:numPr>
          <w:ilvl w:val="0"/>
          <w:numId w:val="1004"/>
        </w:numPr>
      </w:pPr>
      <w:r>
        <w:t xml:space="preserve">Existing retail customers remain insulated from project cost overruns.</w:t>
      </w:r>
    </w:p>
    <w:p>
      <w:pPr>
        <w:pStyle w:val="Compact"/>
        <w:numPr>
          <w:ilvl w:val="0"/>
          <w:numId w:val="1004"/>
        </w:numPr>
      </w:pPr>
      <w:r>
        <w:t xml:space="preserve">There is no adverse change to the expected customer credits, which NiSource has estimated at approximately $1.4 billion in aggregate from its Amazon and Alphabet arrangements. (</w:t>
      </w:r>
      <w:hyperlink r:id="rId14">
        <w:r>
          <w:rPr>
            <w:rStyle w:val="Hyperlink"/>
          </w:rPr>
          <w:t xml:space="preserve">investors.nisource.com</w:t>
        </w:r>
      </w:hyperlink>
      <w:r>
        <w:t xml:space="preserve">)</w:t>
      </w:r>
    </w:p>
    <w:p>
      <w:r>
        <w:pict>
          <v:rect style="width:0;height:1.5pt" o:hralign="center" o:hrstd="t" o:hr="t"/>
        </w:pict>
      </w:r>
    </w:p>
    <w:bookmarkEnd w:id="20"/>
    <w:bookmarkEnd w:id="21"/>
    <w:bookmarkStart w:id="25" w:name="X30f68e36c68df75818abba10414a3f17ac41cb4"/>
    <w:p>
      <w:pPr>
        <w:pStyle w:val="Heading2"/>
      </w:pPr>
      <w:r>
        <w:t xml:space="preserve">3. The balance sheet is now a central part of the thesis</w:t>
      </w:r>
    </w:p>
    <w:p>
      <w:pPr>
        <w:pStyle w:val="FirstParagraph"/>
      </w:pPr>
      <w:r>
        <w:t xml:space="preserve">NiSource estimated in its Q1 filing that the aggregate cost of contract and pooled-resource assets for existing data-center customers would be</w:t>
      </w:r>
      <w:r>
        <w:t xml:space="preserve"> </w:t>
      </w:r>
      <m:oMath>
        <m:r>
          <m:t>9.25</m:t>
        </m:r>
        <m:r>
          <m:rPr>
            <m:sty m:val="p"/>
          </m:rPr>
          <m:t>–</m:t>
        </m:r>
      </m:oMath>
      <w:r>
        <w:rPr>
          <w:b/>
          <w:bCs/>
        </w:rPr>
        <w:t xml:space="preserve">9.75 billion</w:t>
      </w:r>
      <w:r>
        <w:t xml:space="preserve">. Its projected 2026 capital spending was</w:t>
      </w:r>
      <w:r>
        <w:t xml:space="preserve"> </w:t>
      </w:r>
      <m:oMath>
        <m:r>
          <m:t>5.2</m:t>
        </m:r>
        <m:r>
          <m:rPr>
            <m:sty m:val="p"/>
          </m:rPr>
          <m:t>–</m:t>
        </m:r>
      </m:oMath>
      <w:r>
        <w:t xml:space="preserve">5.6 billion, including</w:t>
      </w:r>
      <w:r>
        <w:t xml:space="preserve"> </w:t>
      </w:r>
      <m:oMath>
        <m:r>
          <m:t>1.3</m:t>
        </m:r>
        <m:r>
          <m:rPr>
            <m:sty m:val="p"/>
          </m:rPr>
          <m:t>–</m:t>
        </m:r>
      </m:oMath>
      <w:r>
        <w:t xml:space="preserve">1.5 billion for GenCo. The company also had approximately $1.25 billion of remaining ATM equity capacity as of March 31. (</w:t>
      </w:r>
      <w:hyperlink r:id="rId22">
        <w:r>
          <w:rPr>
            <w:rStyle w:val="Hyperlink"/>
          </w:rPr>
          <w:t xml:space="preserve">sec.gov</w:t>
        </w:r>
      </w:hyperlink>
      <w:r>
        <w:t xml:space="preserve">)</w:t>
      </w:r>
    </w:p>
    <w:p>
      <w:pPr>
        <w:pStyle w:val="BodyText"/>
      </w:pPr>
      <w:r>
        <w:t xml:space="preserve">In May, NiSource issued $1.25 billion of senior notes: $500 million at 4.75% due 2031 and $750 million at 5.30% due 2036. That provides capital and term funding, but it also illustrates the rising interest burden associated with the growth plan. (</w:t>
      </w:r>
      <w:hyperlink r:id="rId23">
        <w:r>
          <w:rPr>
            <w:rStyle w:val="Hyperlink"/>
          </w:rPr>
          <w:t xml:space="preserve">sec.gov</w:t>
        </w:r>
      </w:hyperlink>
      <w:r>
        <w:t xml:space="preserve">)</w:t>
      </w:r>
    </w:p>
    <w:bookmarkStart w:id="24" w:name="key-financing-questions"/>
    <w:p>
      <w:pPr>
        <w:pStyle w:val="Heading3"/>
      </w:pPr>
      <w:r>
        <w:t xml:space="preserve">Key financing questions</w:t>
      </w:r>
    </w:p>
    <w:p>
      <w:pPr>
        <w:numPr>
          <w:ilvl w:val="0"/>
          <w:numId w:val="1005"/>
        </w:numPr>
      </w:pPr>
      <w:r>
        <w:rPr>
          <w:b/>
          <w:bCs/>
        </w:rPr>
        <w:t xml:space="preserve">Has the</w:t>
      </w:r>
      <w:r>
        <w:rPr>
          <w:b/>
          <w:bCs/>
        </w:rPr>
        <w:t xml:space="preserve"> </w:t>
      </w:r>
      <m:oMath>
        <m:r>
          <m:t>9.25</m:t>
        </m:r>
        <m:r>
          <m:rPr>
            <m:sty m:val="p"/>
          </m:rPr>
          <m:t>–</m:t>
        </m:r>
      </m:oMath>
      <w:r>
        <w:rPr>
          <w:b/>
          <w:bCs/>
        </w:rPr>
        <w:t xml:space="preserve">9.75 billion estimate changed?</w:t>
      </w:r>
      <w:r>
        <w:br/>
      </w:r>
      <w:r>
        <w:t xml:space="preserve">Any upward revision without a corresponding increase in contracted economics would be negative.</w:t>
      </w:r>
    </w:p>
    <w:p>
      <w:pPr>
        <w:numPr>
          <w:ilvl w:val="0"/>
          <w:numId w:val="1005"/>
        </w:numPr>
      </w:pPr>
      <w:r>
        <w:rPr>
          <w:b/>
          <w:bCs/>
        </w:rPr>
        <w:t xml:space="preserve">How much equity remains necessary?</w:t>
      </w:r>
      <w:r>
        <w:br/>
      </w:r>
      <w:r>
        <w:t xml:space="preserve">The market is likely to tolerate predictable equity issuance that supports accretive, contracted investment. It will be less comfortable with an open-ended financing requirement.</w:t>
      </w:r>
    </w:p>
    <w:p>
      <w:pPr>
        <w:numPr>
          <w:ilvl w:val="0"/>
          <w:numId w:val="1005"/>
        </w:numPr>
      </w:pPr>
      <w:r>
        <w:rPr>
          <w:b/>
          <w:bCs/>
        </w:rPr>
        <w:t xml:space="preserve">Will Blackstone or other partners fund more of GenCo?</w:t>
      </w:r>
      <w:r>
        <w:br/>
      </w:r>
      <w:r>
        <w:t xml:space="preserve">Additional minority capital or project-level structures could reduce parent-level debt and equity needs.</w:t>
      </w:r>
    </w:p>
    <w:p>
      <w:pPr>
        <w:numPr>
          <w:ilvl w:val="0"/>
          <w:numId w:val="1005"/>
        </w:numPr>
      </w:pPr>
      <w:r>
        <w:rPr>
          <w:b/>
          <w:bCs/>
        </w:rPr>
        <w:t xml:space="preserve">Can credit metrics remain within plan?</w:t>
      </w:r>
      <w:r>
        <w:br/>
      </w:r>
      <w:r>
        <w:t xml:space="preserve">Management needs to demonstrate that the GenCo opportunity is increasing earnings faster than it increases leverage and fixed financing costs.</w:t>
      </w:r>
    </w:p>
    <w:p>
      <w:pPr>
        <w:numPr>
          <w:ilvl w:val="0"/>
          <w:numId w:val="1005"/>
        </w:numPr>
      </w:pPr>
      <w:r>
        <w:rPr>
          <w:b/>
          <w:bCs/>
        </w:rPr>
        <w:t xml:space="preserve">How much capital is being spent ahead of signed customer contracts?</w:t>
      </w:r>
      <w:r>
        <w:br/>
      </w:r>
      <w:r>
        <w:t xml:space="preserve">The regulatory framework permits some resource planning based on active customer negotiations, but substantial speculative procurement would weaken the risk profile.</w:t>
      </w:r>
    </w:p>
    <w:p>
      <w:pPr>
        <w:pStyle w:val="FirstParagraph"/>
      </w:pPr>
      <w:r>
        <w:t xml:space="preserve">The most important balance-sheet disclosure may therefore be</w:t>
      </w:r>
      <w:r>
        <w:t xml:space="preserve"> </w:t>
      </w:r>
      <w:r>
        <w:rPr>
          <w:b/>
          <w:bCs/>
        </w:rPr>
        <w:t xml:space="preserve">not EPS, but an unchanged funding plan</w:t>
      </w:r>
      <w:r>
        <w:t xml:space="preserve">.</w:t>
      </w:r>
    </w:p>
    <w:p>
      <w:r>
        <w:pict>
          <v:rect style="width:0;height:1.5pt" o:hralign="center" o:hrstd="t" o:hr="t"/>
        </w:pict>
      </w:r>
    </w:p>
    <w:bookmarkEnd w:id="24"/>
    <w:bookmarkEnd w:id="25"/>
    <w:bookmarkStart w:id="27" w:name="X6a01d127057be8636c80c5a6c88a35943fc891f"/>
    <w:p>
      <w:pPr>
        <w:pStyle w:val="Heading2"/>
      </w:pPr>
      <w:r>
        <w:t xml:space="preserve">4. Schahfer remains a potential source of cost and regulatory noise</w:t>
      </w:r>
    </w:p>
    <w:p>
      <w:pPr>
        <w:pStyle w:val="FirstParagraph"/>
      </w:pPr>
      <w:r>
        <w:t xml:space="preserve">The Department of Energy extended its emergency order for Schahfer Units 17 and 18 through</w:t>
      </w:r>
      <w:r>
        <w:t xml:space="preserve"> </w:t>
      </w:r>
      <w:r>
        <w:rPr>
          <w:b/>
          <w:bCs/>
        </w:rPr>
        <w:t xml:space="preserve">September 19, 2026</w:t>
      </w:r>
      <w:r>
        <w:t xml:space="preserve">, requiring the units to remain available and to be economically dispatched. Petitions for rehearing have been filed by several states and public-interest organizations. (</w:t>
      </w:r>
      <w:hyperlink r:id="rId26">
        <w:r>
          <w:rPr>
            <w:rStyle w:val="Hyperlink"/>
          </w:rPr>
          <w:t xml:space="preserve">energy.gov</w:t>
        </w:r>
      </w:hyperlink>
      <w:r>
        <w:t xml:space="preserve">)</w:t>
      </w:r>
    </w:p>
    <w:p>
      <w:pPr>
        <w:pStyle w:val="BodyText"/>
      </w:pPr>
      <w:r>
        <w:t xml:space="preserve">At March 31, NiSource had deferred $65.9 million of incremental compliance costs as a regulatory asset and recorded $54.4 million of related MISO revenue and customer receipts as regulatory liabilities—a roughly $11.5 million gap before considering subsequent-quarter activity. (</w:t>
      </w:r>
      <w:hyperlink r:id="rId22">
        <w:r>
          <w:rPr>
            <w:rStyle w:val="Hyperlink"/>
          </w:rPr>
          <w:t xml:space="preserve">sec.gov</w:t>
        </w:r>
      </w:hyperlink>
      <w:r>
        <w:t xml:space="preserve">)</w:t>
      </w:r>
    </w:p>
    <w:p>
      <w:pPr>
        <w:pStyle w:val="BodyText"/>
      </w:pPr>
      <w:r>
        <w:t xml:space="preserve">Investors should look for:</w:t>
      </w:r>
    </w:p>
    <w:p>
      <w:pPr>
        <w:pStyle w:val="Compact"/>
        <w:numPr>
          <w:ilvl w:val="0"/>
          <w:numId w:val="1006"/>
        </w:numPr>
      </w:pPr>
      <w:r>
        <w:t xml:space="preserve">The cumulative Q2 cost of keeping Schahfer available</w:t>
      </w:r>
    </w:p>
    <w:p>
      <w:pPr>
        <w:pStyle w:val="Compact"/>
        <w:numPr>
          <w:ilvl w:val="0"/>
          <w:numId w:val="1006"/>
        </w:numPr>
      </w:pPr>
      <w:r>
        <w:t xml:space="preserve">MISO market revenue generated by the units</w:t>
      </w:r>
    </w:p>
    <w:p>
      <w:pPr>
        <w:pStyle w:val="Compact"/>
        <w:numPr>
          <w:ilvl w:val="0"/>
          <w:numId w:val="1006"/>
        </w:numPr>
      </w:pPr>
      <w:r>
        <w:t xml:space="preserve">Progress toward full FERC/MISO cost recovery</w:t>
      </w:r>
    </w:p>
    <w:p>
      <w:pPr>
        <w:pStyle w:val="Compact"/>
        <w:numPr>
          <w:ilvl w:val="0"/>
          <w:numId w:val="1006"/>
        </w:numPr>
      </w:pPr>
      <w:r>
        <w:t xml:space="preserve">Any unrecovered amount affecting cash flow or earnings</w:t>
      </w:r>
    </w:p>
    <w:p>
      <w:pPr>
        <w:pStyle w:val="Compact"/>
        <w:numPr>
          <w:ilvl w:val="0"/>
          <w:numId w:val="1006"/>
        </w:numPr>
      </w:pPr>
      <w:r>
        <w:t xml:space="preserve">Whether the extended operation disrupts planned site work for GenCo</w:t>
      </w:r>
    </w:p>
    <w:p>
      <w:pPr>
        <w:pStyle w:val="Compact"/>
        <w:numPr>
          <w:ilvl w:val="0"/>
          <w:numId w:val="1006"/>
        </w:numPr>
      </w:pPr>
      <w:r>
        <w:t xml:space="preserve">Whether another federal extension beyond September appears likely</w:t>
      </w:r>
    </w:p>
    <w:p>
      <w:pPr>
        <w:pStyle w:val="FirstParagraph"/>
      </w:pPr>
      <w:r>
        <w:t xml:space="preserve">This should ultimately be recoverable, but the timing and jurisdiction of recovery matter. A growing regulatory asset would pressure cash flow even if GAAP earnings are protected.</w:t>
      </w:r>
    </w:p>
    <w:p>
      <w:r>
        <w:pict>
          <v:rect style="width:0;height:1.5pt" o:hralign="center" o:hrstd="t" o:hr="t"/>
        </w:pict>
      </w:r>
    </w:p>
    <w:bookmarkEnd w:id="27"/>
    <w:bookmarkStart w:id="30" w:name="Xb44147ef031cc8389cac4078a56a209069adfd6"/>
    <w:p>
      <w:pPr>
        <w:pStyle w:val="Heading2"/>
      </w:pPr>
      <w:r>
        <w:t xml:space="preserve">5. Core regulated-utility performance should not be overlooked</w:t>
      </w:r>
    </w:p>
    <w:p>
      <w:pPr>
        <w:pStyle w:val="FirstParagraph"/>
      </w:pPr>
      <w:r>
        <w:t xml:space="preserve">The GenCo story is driving the multiple, but the Columbia Gas and traditional NIPSCO businesses still fund and stabilize the company.</w:t>
      </w:r>
    </w:p>
    <w:bookmarkStart w:id="28" w:name="positive-indicators"/>
    <w:p>
      <w:pPr>
        <w:pStyle w:val="Heading3"/>
      </w:pPr>
      <w:r>
        <w:t xml:space="preserve">Positive indicators</w:t>
      </w:r>
    </w:p>
    <w:p>
      <w:pPr>
        <w:pStyle w:val="Compact"/>
        <w:numPr>
          <w:ilvl w:val="0"/>
          <w:numId w:val="1007"/>
        </w:numPr>
      </w:pPr>
      <w:r>
        <w:t xml:space="preserve">Rate recovery from prior infrastructure investment</w:t>
      </w:r>
    </w:p>
    <w:p>
      <w:pPr>
        <w:pStyle w:val="Compact"/>
        <w:numPr>
          <w:ilvl w:val="0"/>
          <w:numId w:val="1007"/>
        </w:numPr>
      </w:pPr>
      <w:r>
        <w:t xml:space="preserve">Residential and commercial customer growth</w:t>
      </w:r>
    </w:p>
    <w:p>
      <w:pPr>
        <w:pStyle w:val="Compact"/>
        <w:numPr>
          <w:ilvl w:val="0"/>
          <w:numId w:val="1007"/>
        </w:numPr>
      </w:pPr>
      <w:r>
        <w:t xml:space="preserve">Final implementation of the NIPSCO electric rate case</w:t>
      </w:r>
    </w:p>
    <w:p>
      <w:pPr>
        <w:pStyle w:val="Compact"/>
        <w:numPr>
          <w:ilvl w:val="0"/>
          <w:numId w:val="1007"/>
        </w:numPr>
      </w:pPr>
      <w:r>
        <w:t xml:space="preserve">Constructive infrastructure riders in Ohio and other jurisdictions</w:t>
      </w:r>
    </w:p>
    <w:p>
      <w:pPr>
        <w:pStyle w:val="Compact"/>
        <w:numPr>
          <w:ilvl w:val="0"/>
          <w:numId w:val="1007"/>
        </w:numPr>
      </w:pPr>
      <w:r>
        <w:t xml:space="preserve">Continued gas-pipeline modernization spending</w:t>
      </w:r>
    </w:p>
    <w:p>
      <w:pPr>
        <w:pStyle w:val="Compact"/>
        <w:numPr>
          <w:ilvl w:val="0"/>
          <w:numId w:val="1007"/>
        </w:numPr>
      </w:pPr>
      <w:r>
        <w:t xml:space="preserve">Operating-efficiency initiatives under the “Value Captured” program</w:t>
      </w:r>
    </w:p>
    <w:bookmarkEnd w:id="28"/>
    <w:bookmarkStart w:id="29" w:name="watch-items"/>
    <w:p>
      <w:pPr>
        <w:pStyle w:val="Heading3"/>
      </w:pPr>
      <w:r>
        <w:t xml:space="preserve">Watch items</w:t>
      </w:r>
    </w:p>
    <w:p>
      <w:pPr>
        <w:pStyle w:val="Compact"/>
        <w:numPr>
          <w:ilvl w:val="0"/>
          <w:numId w:val="1008"/>
        </w:numPr>
      </w:pPr>
      <w:r>
        <w:t xml:space="preserve">Higher outside-services, materials and depreciation expense</w:t>
      </w:r>
    </w:p>
    <w:p>
      <w:pPr>
        <w:pStyle w:val="Compact"/>
        <w:numPr>
          <w:ilvl w:val="0"/>
          <w:numId w:val="1008"/>
        </w:numPr>
      </w:pPr>
      <w:r>
        <w:t xml:space="preserve">Customer affordability and political resistance to rate increases</w:t>
      </w:r>
    </w:p>
    <w:p>
      <w:pPr>
        <w:pStyle w:val="Compact"/>
        <w:numPr>
          <w:ilvl w:val="0"/>
          <w:numId w:val="1008"/>
        </w:numPr>
      </w:pPr>
      <w:r>
        <w:t xml:space="preserve">Pennsylvania's evolving posture toward utility rates and investment</w:t>
      </w:r>
    </w:p>
    <w:p>
      <w:pPr>
        <w:pStyle w:val="Compact"/>
        <w:numPr>
          <w:ilvl w:val="0"/>
          <w:numId w:val="1008"/>
        </w:numPr>
      </w:pPr>
      <w:r>
        <w:t xml:space="preserve">Bad-debt and collection expense</w:t>
      </w:r>
    </w:p>
    <w:p>
      <w:pPr>
        <w:pStyle w:val="Compact"/>
        <w:numPr>
          <w:ilvl w:val="0"/>
          <w:numId w:val="1008"/>
        </w:numPr>
      </w:pPr>
      <w:r>
        <w:t xml:space="preserve">Supply-chain inflation and tariffs</w:t>
      </w:r>
    </w:p>
    <w:p>
      <w:pPr>
        <w:pStyle w:val="Compact"/>
        <w:numPr>
          <w:ilvl w:val="0"/>
          <w:numId w:val="1008"/>
        </w:numPr>
      </w:pPr>
      <w:r>
        <w:t xml:space="preserve">The NIPSCO gas-meter investigation</w:t>
      </w:r>
    </w:p>
    <w:p>
      <w:pPr>
        <w:pStyle w:val="Compact"/>
        <w:numPr>
          <w:ilvl w:val="0"/>
          <w:numId w:val="1008"/>
        </w:numPr>
      </w:pPr>
      <w:r>
        <w:t xml:space="preserve">Whether management can keep base-business O&amp;M flat while simultaneously building a new data-center organization</w:t>
      </w:r>
    </w:p>
    <w:p>
      <w:pPr>
        <w:pStyle w:val="FirstParagraph"/>
      </w:pPr>
      <w:r>
        <w:t xml:space="preserve">A clean quarter from the core utilities would allow investors to focus on GenCo upside. Weak core execution would make the data-center capital program look more financially stretched.</w:t>
      </w:r>
    </w:p>
    <w:p>
      <w:r>
        <w:pict>
          <v:rect style="width:0;height:1.5pt" o:hralign="center" o:hrstd="t" o:hr="t"/>
        </w:pict>
      </w:r>
    </w:p>
    <w:bookmarkEnd w:id="29"/>
    <w:bookmarkEnd w:id="30"/>
    <w:bookmarkStart w:id="34" w:name="potential-stock-reactions"/>
    <w:p>
      <w:pPr>
        <w:pStyle w:val="Heading2"/>
      </w:pPr>
      <w:r>
        <w:t xml:space="preserve">Potential stock reactions</w:t>
      </w:r>
    </w:p>
    <w:bookmarkStart w:id="31" w:name="bull-case"/>
    <w:p>
      <w:pPr>
        <w:pStyle w:val="Heading3"/>
      </w:pPr>
      <w:r>
        <w:t xml:space="preserve">Bull case</w:t>
      </w:r>
    </w:p>
    <w:p>
      <w:pPr>
        <w:pStyle w:val="Compact"/>
        <w:numPr>
          <w:ilvl w:val="0"/>
          <w:numId w:val="1009"/>
        </w:numPr>
      </w:pPr>
      <w:r>
        <w:t xml:space="preserve">EPS modestly exceeds expectations</w:t>
      </w:r>
    </w:p>
    <w:p>
      <w:pPr>
        <w:pStyle w:val="Compact"/>
        <w:numPr>
          <w:ilvl w:val="0"/>
          <w:numId w:val="1009"/>
        </w:numPr>
      </w:pPr>
      <w:r>
        <w:t xml:space="preserve">2026 guidance reaffirmed with an upward bias</w:t>
      </w:r>
    </w:p>
    <w:p>
      <w:pPr>
        <w:pStyle w:val="Compact"/>
        <w:numPr>
          <w:ilvl w:val="0"/>
          <w:numId w:val="1009"/>
        </w:numPr>
      </w:pPr>
      <w:r>
        <w:t xml:space="preserve">Amazon construction and procurement on schedule</w:t>
      </w:r>
    </w:p>
    <w:p>
      <w:pPr>
        <w:pStyle w:val="Compact"/>
        <w:numPr>
          <w:ilvl w:val="0"/>
          <w:numId w:val="1009"/>
        </w:numPr>
      </w:pPr>
      <w:r>
        <w:t xml:space="preserve">Alphabet energized or ready for imminent service</w:t>
      </w:r>
    </w:p>
    <w:p>
      <w:pPr>
        <w:pStyle w:val="Compact"/>
        <w:numPr>
          <w:ilvl w:val="0"/>
          <w:numId w:val="1009"/>
        </w:numPr>
      </w:pPr>
      <w:r>
        <w:t xml:space="preserve">No increase to the data-center capital estimate</w:t>
      </w:r>
    </w:p>
    <w:p>
      <w:pPr>
        <w:pStyle w:val="Compact"/>
        <w:numPr>
          <w:ilvl w:val="0"/>
          <w:numId w:val="1009"/>
        </w:numPr>
      </w:pPr>
      <w:r>
        <w:t xml:space="preserve">Additional contracts move closer to signing without requiring a funding-plan revision</w:t>
      </w:r>
    </w:p>
    <w:p>
      <w:pPr>
        <w:pStyle w:val="Compact"/>
        <w:numPr>
          <w:ilvl w:val="0"/>
          <w:numId w:val="1009"/>
        </w:numPr>
      </w:pPr>
      <w:r>
        <w:t xml:space="preserve">Schahfer costs are substantially recoverable</w:t>
      </w:r>
    </w:p>
    <w:bookmarkEnd w:id="31"/>
    <w:bookmarkStart w:id="32" w:name="base-case"/>
    <w:p>
      <w:pPr>
        <w:pStyle w:val="Heading3"/>
      </w:pPr>
      <w:r>
        <w:t xml:space="preserve">Base case</w:t>
      </w:r>
    </w:p>
    <w:p>
      <w:pPr>
        <w:pStyle w:val="Compact"/>
        <w:numPr>
          <w:ilvl w:val="0"/>
          <w:numId w:val="1010"/>
        </w:numPr>
      </w:pPr>
      <w:r>
        <w:t xml:space="preserve">EPS around</w:t>
      </w:r>
      <w:r>
        <w:t xml:space="preserve"> </w:t>
      </w:r>
      <m:oMath>
        <m:r>
          <m:t>0.20</m:t>
        </m:r>
        <m:r>
          <m:rPr>
            <m:sty m:val="p"/>
          </m:rPr>
          <m:t>–</m:t>
        </m:r>
      </m:oMath>
      <w:r>
        <w:t xml:space="preserve">0.23</w:t>
      </w:r>
    </w:p>
    <w:p>
      <w:pPr>
        <w:pStyle w:val="Compact"/>
        <w:numPr>
          <w:ilvl w:val="0"/>
          <w:numId w:val="1010"/>
        </w:numPr>
      </w:pPr>
      <w:r>
        <w:t xml:space="preserve">Full-year and long-term guidance reaffirmed</w:t>
      </w:r>
    </w:p>
    <w:p>
      <w:pPr>
        <w:pStyle w:val="Compact"/>
        <w:numPr>
          <w:ilvl w:val="0"/>
          <w:numId w:val="1010"/>
        </w:numPr>
      </w:pPr>
      <w:r>
        <w:t xml:space="preserve">Approved projects progressing normally</w:t>
      </w:r>
    </w:p>
    <w:p>
      <w:pPr>
        <w:pStyle w:val="Compact"/>
        <w:numPr>
          <w:ilvl w:val="0"/>
          <w:numId w:val="1010"/>
        </w:numPr>
      </w:pPr>
      <w:r>
        <w:t xml:space="preserve">Financing plan unchanged</w:t>
      </w:r>
    </w:p>
    <w:p>
      <w:pPr>
        <w:pStyle w:val="Compact"/>
        <w:numPr>
          <w:ilvl w:val="0"/>
          <w:numId w:val="1010"/>
        </w:numPr>
      </w:pPr>
      <w:r>
        <w:t xml:space="preserve">No major new customer announcement</w:t>
      </w:r>
    </w:p>
    <w:p>
      <w:pPr>
        <w:pStyle w:val="FirstParagraph"/>
      </w:pPr>
      <w:r>
        <w:t xml:space="preserve">This would likely be viewed as satisfactory, with the call's discussion of construction and financing determining the stock reaction.</w:t>
      </w:r>
    </w:p>
    <w:bookmarkEnd w:id="32"/>
    <w:bookmarkStart w:id="33" w:name="bear-case"/>
    <w:p>
      <w:pPr>
        <w:pStyle w:val="Heading3"/>
      </w:pPr>
      <w:r>
        <w:t xml:space="preserve">Bear case</w:t>
      </w:r>
    </w:p>
    <w:p>
      <w:pPr>
        <w:pStyle w:val="Compact"/>
        <w:numPr>
          <w:ilvl w:val="0"/>
          <w:numId w:val="1011"/>
        </w:numPr>
      </w:pPr>
      <w:r>
        <w:t xml:space="preserve">Guidance is maintained only with increasingly back-end-loaded assumptions</w:t>
      </w:r>
    </w:p>
    <w:p>
      <w:pPr>
        <w:pStyle w:val="Compact"/>
        <w:numPr>
          <w:ilvl w:val="0"/>
          <w:numId w:val="1011"/>
        </w:numPr>
      </w:pPr>
      <w:r>
        <w:t xml:space="preserve">Amazon or Alphabet milestones slip</w:t>
      </w:r>
    </w:p>
    <w:p>
      <w:pPr>
        <w:pStyle w:val="Compact"/>
        <w:numPr>
          <w:ilvl w:val="0"/>
          <w:numId w:val="1011"/>
        </w:numPr>
      </w:pPr>
      <w:r>
        <w:t xml:space="preserve">GenCo capital costs rise</w:t>
      </w:r>
    </w:p>
    <w:p>
      <w:pPr>
        <w:pStyle w:val="Compact"/>
        <w:numPr>
          <w:ilvl w:val="0"/>
          <w:numId w:val="1011"/>
        </w:numPr>
      </w:pPr>
      <w:r>
        <w:t xml:space="preserve">Equity needs increase</w:t>
      </w:r>
    </w:p>
    <w:p>
      <w:pPr>
        <w:pStyle w:val="Compact"/>
        <w:numPr>
          <w:ilvl w:val="0"/>
          <w:numId w:val="1011"/>
        </w:numPr>
      </w:pPr>
      <w:r>
        <w:t xml:space="preserve">Management becomes less specific about customer protections or project returns</w:t>
      </w:r>
    </w:p>
    <w:p>
      <w:pPr>
        <w:pStyle w:val="Compact"/>
        <w:numPr>
          <w:ilvl w:val="0"/>
          <w:numId w:val="1011"/>
        </w:numPr>
      </w:pPr>
      <w:r>
        <w:t xml:space="preserve">Schahfer regulatory assets continue to build without a clear recovery timetable</w:t>
      </w:r>
    </w:p>
    <w:p>
      <w:pPr>
        <w:pStyle w:val="Compact"/>
        <w:numPr>
          <w:ilvl w:val="0"/>
          <w:numId w:val="1011"/>
        </w:numPr>
      </w:pPr>
      <w:r>
        <w:t xml:space="preserve">Core O&amp;M and interest expense materially exceed plan</w:t>
      </w:r>
    </w:p>
    <w:p>
      <w:r>
        <w:pict>
          <v:rect style="width:0;height:1.5pt" o:hralign="center" o:hrstd="t" o:hr="t"/>
        </w:pict>
      </w:r>
    </w:p>
    <w:bookmarkEnd w:id="33"/>
    <w:bookmarkEnd w:id="34"/>
    <w:bookmarkStart w:id="35" w:name="X58422062a0248c0c9192c6cbd312793331b04c1"/>
    <w:p>
      <w:pPr>
        <w:pStyle w:val="Heading2"/>
      </w:pPr>
      <w:r>
        <w:t xml:space="preserve">Questions management should answer on the call</w:t>
      </w:r>
    </w:p>
    <w:p>
      <w:pPr>
        <w:pStyle w:val="Compact"/>
        <w:numPr>
          <w:ilvl w:val="0"/>
          <w:numId w:val="1012"/>
        </w:numPr>
      </w:pPr>
      <w:r>
        <w:rPr>
          <w:b/>
          <w:bCs/>
        </w:rPr>
        <w:t xml:space="preserve">Has Alphabet begun taking service, and at what initial load?</w:t>
      </w:r>
    </w:p>
    <w:p>
      <w:pPr>
        <w:pStyle w:val="Compact"/>
        <w:numPr>
          <w:ilvl w:val="0"/>
          <w:numId w:val="1012"/>
        </w:numPr>
      </w:pPr>
      <w:r>
        <w:rPr>
          <w:b/>
          <w:bCs/>
        </w:rPr>
        <w:t xml:space="preserve">Are Amazon's 2027 energization and GenCo construction milestones unchanged?</w:t>
      </w:r>
    </w:p>
    <w:p>
      <w:pPr>
        <w:pStyle w:val="Compact"/>
        <w:numPr>
          <w:ilvl w:val="0"/>
          <w:numId w:val="1012"/>
        </w:numPr>
      </w:pPr>
      <w:r>
        <w:rPr>
          <w:b/>
          <w:bCs/>
        </w:rPr>
        <w:t xml:space="preserve">Is the</w:t>
      </w:r>
      <w:r>
        <w:rPr>
          <w:b/>
          <w:bCs/>
        </w:rPr>
        <w:t xml:space="preserve"> </w:t>
      </w:r>
      <m:oMath>
        <m:r>
          <m:t>9.25</m:t>
        </m:r>
        <m:r>
          <m:rPr>
            <m:sty m:val="p"/>
          </m:rPr>
          <m:t>–</m:t>
        </m:r>
      </m:oMath>
      <w:r>
        <w:rPr>
          <w:b/>
          <w:bCs/>
        </w:rPr>
        <w:t xml:space="preserve">9.75 billion data-center asset estimate still current?</w:t>
      </w:r>
    </w:p>
    <w:p>
      <w:pPr>
        <w:pStyle w:val="Compact"/>
        <w:numPr>
          <w:ilvl w:val="0"/>
          <w:numId w:val="1012"/>
        </w:numPr>
      </w:pPr>
      <w:r>
        <w:rPr>
          <w:b/>
          <w:bCs/>
        </w:rPr>
        <w:t xml:space="preserve">How much GenCo capital has been committed versus actually spent?</w:t>
      </w:r>
    </w:p>
    <w:p>
      <w:pPr>
        <w:pStyle w:val="Compact"/>
        <w:numPr>
          <w:ilvl w:val="0"/>
          <w:numId w:val="1012"/>
        </w:numPr>
      </w:pPr>
      <w:r>
        <w:rPr>
          <w:b/>
          <w:bCs/>
        </w:rPr>
        <w:t xml:space="preserve">What is the updated debt, equity and minority-capital mix?</w:t>
      </w:r>
    </w:p>
    <w:p>
      <w:pPr>
        <w:pStyle w:val="Compact"/>
        <w:numPr>
          <w:ilvl w:val="0"/>
          <w:numId w:val="1012"/>
        </w:numPr>
      </w:pPr>
      <w:r>
        <w:rPr>
          <w:b/>
          <w:bCs/>
        </w:rPr>
        <w:t xml:space="preserve">How much Schahfer cost was incurred and recovered during Q2?</w:t>
      </w:r>
    </w:p>
    <w:p>
      <w:pPr>
        <w:pStyle w:val="Compact"/>
        <w:numPr>
          <w:ilvl w:val="0"/>
          <w:numId w:val="1012"/>
        </w:numPr>
      </w:pPr>
      <w:r>
        <w:rPr>
          <w:b/>
          <w:bCs/>
        </w:rPr>
        <w:t xml:space="preserve">What portion of 2026 guidance remains dependent on weather, tax-credit timing or financing assumptions?</w:t>
      </w:r>
    </w:p>
    <w:p>
      <w:pPr>
        <w:pStyle w:val="Compact"/>
        <w:numPr>
          <w:ilvl w:val="0"/>
          <w:numId w:val="1012"/>
        </w:numPr>
      </w:pPr>
      <w:r>
        <w:rPr>
          <w:b/>
          <w:bCs/>
        </w:rPr>
        <w:t xml:space="preserve">Can management hold O&amp;M flat despite the expanded development platform?</w:t>
      </w:r>
    </w:p>
    <w:p>
      <w:pPr>
        <w:pStyle w:val="Compact"/>
        <w:numPr>
          <w:ilvl w:val="0"/>
          <w:numId w:val="1012"/>
        </w:numPr>
      </w:pPr>
      <w:r>
        <w:rPr>
          <w:b/>
          <w:bCs/>
        </w:rPr>
        <w:t xml:space="preserve">Have MISO accreditation assumptions changed for batteries or purchased capacity?</w:t>
      </w:r>
    </w:p>
    <w:p>
      <w:pPr>
        <w:pStyle w:val="Compact"/>
        <w:numPr>
          <w:ilvl w:val="0"/>
          <w:numId w:val="1012"/>
        </w:numPr>
      </w:pPr>
      <w:r>
        <w:rPr>
          <w:b/>
          <w:bCs/>
        </w:rPr>
        <w:t xml:space="preserve">What milestones remain before another large-load opportunity can become a signed contract?</w:t>
      </w:r>
    </w:p>
    <w:bookmarkEnd w:id="35"/>
    <w:bookmarkStart w:id="36" w:name="bottom-line"/>
    <w:p>
      <w:pPr>
        <w:pStyle w:val="Heading2"/>
      </w:pPr>
      <w:r>
        <w:t xml:space="preserve">Bottom line</w:t>
      </w:r>
    </w:p>
    <w:p>
      <w:pPr>
        <w:pStyle w:val="FirstParagraph"/>
      </w:pPr>
      <w:r>
        <w:t xml:space="preserve">The regulatory backdrop has improved materially since Q1. Both major data-center customers now have Indiana approvals, and GenCo's principal Amazon generation assets have cleared a key regulatory hurdle. That changes the debate from</w:t>
      </w:r>
      <w:r>
        <w:t xml:space="preserve"> </w:t>
      </w:r>
      <w:r>
        <w:rPr>
          <w:b/>
          <w:bCs/>
        </w:rPr>
        <w:t xml:space="preserve">“Will the model be approved?”</w:t>
      </w:r>
      <w:r>
        <w:t xml:space="preserve"> </w:t>
      </w:r>
      <w:r>
        <w:t xml:space="preserve">to</w:t>
      </w:r>
      <w:r>
        <w:t xml:space="preserve"> </w:t>
      </w:r>
      <w:r>
        <w:rPr>
          <w:b/>
          <w:bCs/>
        </w:rPr>
        <w:t xml:space="preserve">“Can NiSource build and finance it on time and on budget?”</w:t>
      </w:r>
    </w:p>
    <w:p>
      <w:pPr>
        <w:pStyle w:val="BodyText"/>
      </w:pPr>
      <w:r>
        <w:t xml:space="preserve">A routine EPS result with reaffirmed guidance should be enough if management reports clean execution, unchanged capital requirements and a credible funding plan. Conversely, even an EPS beat may not carry much weight if construction costs, equity needs or project schedules worsen.</w:t>
      </w:r>
    </w:p>
    <w:p>
      <w:pPr>
        <w:pStyle w:val="BodyText"/>
      </w:pPr>
      <w:r>
        <w:rPr>
          <w:b/>
          <w:bCs/>
        </w:rPr>
        <w:t xml:space="preserve">The decisive disclosures will be GenCo cost, schedule and financing—not the last few cents of Q2 EPS.</w:t>
      </w:r>
    </w:p>
    <w:bookmarkEnd w:id="36"/>
    <w:bookmarkEnd w:id="3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4" Target="https://investors.nisource.com/financial-news/news-details/2026/NiSource-Announces-First-Quarter-Results/default.aspx?utm_source=openai" TargetMode="External" /><Relationship Type="http://schemas.openxmlformats.org/officeDocument/2006/relationships/hyperlink" Id="rId9" Target="https://investors.nisource.com/financial-news/news-details/2026/NiSource-to-release-second-quarter-2026-financial-results-and-host-conference-call-on-August-5/default.aspx?utm_source=openai" TargetMode="External" /><Relationship Type="http://schemas.openxmlformats.org/officeDocument/2006/relationships/hyperlink" Id="rId12" Target="https://www.benzinga.com/quote/NI/earnings" TargetMode="External" /><Relationship Type="http://schemas.openxmlformats.org/officeDocument/2006/relationships/hyperlink" Id="rId26" Target="https://www.energy.gov/ceser/federal-power-act-section-202c-schahfer-order-no-202-26-29" TargetMode="External" /><Relationship Type="http://schemas.openxmlformats.org/officeDocument/2006/relationships/hyperlink" Id="rId10" Target="https://www.in.gov/iurc/files/ord_46393_072726_.pdf" TargetMode="External" /><Relationship Type="http://schemas.openxmlformats.org/officeDocument/2006/relationships/hyperlink" Id="rId22" Target="https://www.sec.gov/Archives/edgar/data/1111711/000111171126000045/nix-20260331.htm" TargetMode="External" /><Relationship Type="http://schemas.openxmlformats.org/officeDocument/2006/relationships/hyperlink" Id="rId15" Target="https://www.sec.gov/Archives/edgar/data/1111711/000111171126000045/nix-20260331.htm?utm_source=openai" TargetMode="External" /><Relationship Type="http://schemas.openxmlformats.org/officeDocument/2006/relationships/hyperlink" Id="rId23" Target="https://www.sec.gov/Archives/edgar/data/1111711/000119312526217159/d151470dfwp.htm?utm_source=openai" TargetMode="External" /></Relationships>
</file>

<file path=word/_rels/footnotes.xml.rels><?xml version="1.0" encoding="UTF-8"?><Relationships xmlns="http://schemas.openxmlformats.org/package/2006/relationships"><Relationship Type="http://schemas.openxmlformats.org/officeDocument/2006/relationships/hyperlink" Id="rId14" Target="https://investors.nisource.com/financial-news/news-details/2026/NiSource-Announces-First-Quarter-Results/default.aspx?utm_source=openai" TargetMode="External" /><Relationship Type="http://schemas.openxmlformats.org/officeDocument/2006/relationships/hyperlink" Id="rId9" Target="https://investors.nisource.com/financial-news/news-details/2026/NiSource-to-release-second-quarter-2026-financial-results-and-host-conference-call-on-August-5/default.aspx?utm_source=openai" TargetMode="External" /><Relationship Type="http://schemas.openxmlformats.org/officeDocument/2006/relationships/hyperlink" Id="rId12" Target="https://www.benzinga.com/quote/NI/earnings" TargetMode="External" /><Relationship Type="http://schemas.openxmlformats.org/officeDocument/2006/relationships/hyperlink" Id="rId26" Target="https://www.energy.gov/ceser/federal-power-act-section-202c-schahfer-order-no-202-26-29" TargetMode="External" /><Relationship Type="http://schemas.openxmlformats.org/officeDocument/2006/relationships/hyperlink" Id="rId10" Target="https://www.in.gov/iurc/files/ord_46393_072726_.pdf" TargetMode="External" /><Relationship Type="http://schemas.openxmlformats.org/officeDocument/2006/relationships/hyperlink" Id="rId22" Target="https://www.sec.gov/Archives/edgar/data/1111711/000111171126000045/nix-20260331.htm" TargetMode="External" /><Relationship Type="http://schemas.openxmlformats.org/officeDocument/2006/relationships/hyperlink" Id="rId15" Target="https://www.sec.gov/Archives/edgar/data/1111711/000111171126000045/nix-20260331.htm?utm_source=openai" TargetMode="External" /><Relationship Type="http://schemas.openxmlformats.org/officeDocument/2006/relationships/hyperlink" Id="rId23" Target="https://www.sec.gov/Archives/edgar/data/1111711/000119312526217159/d151470dfwp.htm?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2026-08-05T00:35:54Z</dcterms:created>
  <dcterms:modified xsi:type="dcterms:W3CDTF">2026-08-05T00:35:54Z</dcterms:modified>
</cp:coreProperties>
</file>

<file path=docProps/custom.xml><?xml version="1.0" encoding="utf-8"?>
<Properties xmlns="http://schemas.openxmlformats.org/officeDocument/2006/custom-properties" xmlns:vt="http://schemas.openxmlformats.org/officeDocument/2006/docPropsVTypes"/>
</file>