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ni-earnings-predictions--2026-08-05"/>
    <w:p>
      <w:pPr>
        <w:pStyle w:val="Heading1"/>
      </w:pPr>
      <w:r>
        <w:t xml:space="preserve">NI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NI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consolidated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~$0.16 vs. cons $0.15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operating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~$1.19B vs. cons $1.16B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Contracted data-center load (Amazon/ADS plus Alphabet)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~3.10 GW vs. cons 3.10 GW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consolidated adjusted EPS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~$2.045 midpoint vs. cons $2.09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NI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2026-2030 base-plan adjusted EPS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~7.0% midpoint vs. cons 7.0% (2026-2030)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NI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GenCo adjusted-EPS contribution target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~$0.30 midpoint vs. cons $0.30 (2030)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-2.5% (FOLLOW-THROUGH)</w:t>
            </w:r>
          </w:p>
        </w:tc>
        <w:tc>
          <w:tcPr/>
          <w:p>
            <w:pPr>
              <w:pStyle w:val="Compact"/>
            </w:pPr>
            <w:r>
              <w:t xml:space="preserve">A modest 2Q EPS/revenue beat is unlikely to offset the absence of a FY26 raise: guidance at ~</w:t>
            </w:r>
            <m:oMath>
              <m:r>
                <m:t>2.045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2.09 consensus implies negative out-period estimate math. If GenCo contracted load and 2030 contribution targets remain unchanged rather than advancing, analysts are more likely to trim FY26/FY27 estimates and retain execution-risk discounts.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2026-08-05T00:34:18Z</dcterms:created>
  <dcterms:modified xsi:type="dcterms:W3CDTF">2026-08-05T00:34:18Z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