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nisource-nyse-ni--2q26-earnings-preview"/>
    <w:p>
      <w:pPr>
        <w:pStyle w:val="Heading1"/>
      </w:pPr>
      <w:r>
        <w:t xml:space="preserve">NiSource (NYSE: NI)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NiSource scheduled its 2Q26 results release and conference call for</w:t>
      </w:r>
      <w:r>
        <w:t xml:space="preserve"> </w:t>
      </w:r>
      <w:r>
        <w:rPr>
          <w:b/>
          <w:bCs/>
        </w:rPr>
        <w:t xml:space="preserve">Wednesday, August 5, 2026, before the U.S. market opens</w:t>
      </w:r>
      <w:r>
        <w:t xml:space="preserve">, with the call at</w:t>
      </w:r>
      <w:r>
        <w:t xml:space="preserve"> </w:t>
      </w:r>
      <w:r>
        <w:rPr>
          <w:b/>
          <w:bCs/>
        </w:rPr>
        <w:t xml:space="preserve">11:00 a.m. ET</w:t>
      </w:r>
      <w:r>
        <w:t xml:space="preserve">. Accordingly, this is best read as a preview based on information available through the</w:t>
      </w:r>
      <w:r>
        <w:t xml:space="preserve"> </w:t>
      </w:r>
      <w:r>
        <w:rPr>
          <w:b/>
          <w:bCs/>
        </w:rPr>
        <w:t xml:space="preserve">August 4 close</w:t>
      </w:r>
      <w:r>
        <w:t xml:space="preserve">, rather than a preview for August 6.</w:t>
      </w:r>
    </w:p>
    <w:bookmarkStart w:id="9" w:name="X4fc0659f13a3ec029195e2b77af6dd6fb2ce9d6"/>
    <w:p>
      <w:pPr>
        <w:pStyle w:val="Heading2"/>
      </w:pPr>
      <w:r>
        <w:t xml:space="preserve">Investment view: the quarter matters less than execution proof on GenCo</w:t>
      </w:r>
    </w:p>
    <w:p>
      <w:pPr>
        <w:pStyle w:val="FirstParagraph"/>
      </w:pPr>
      <w:r>
        <w:t xml:space="preserve">NiSource enters 2Q with its core regulated-utility earnings plan appearing on track, but with the stock increasingly valued on whether its Indiana data-center strategy can move from compelling contracts and pipeline disclosures to</w:t>
      </w:r>
      <w:r>
        <w:t xml:space="preserve"> </w:t>
      </w:r>
      <w:r>
        <w:rPr>
          <w:b/>
          <w:bCs/>
        </w:rPr>
        <w:t xml:space="preserve">regulatory approvals, construction milestones, and financeable execution</w:t>
      </w:r>
      <w:r>
        <w:t xml:space="preserve">.</w:t>
      </w:r>
    </w:p>
    <w:p>
      <w:pPr>
        <w:pStyle w:val="BodyText"/>
      </w:pPr>
      <w:r>
        <w:t xml:space="preserve">The headline EPS result matters, but the higher-impact issues for investors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management reaffirm the</w:t>
      </w:r>
      <w:r>
        <w:rPr>
          <w:b/>
          <w:bCs/>
        </w:rPr>
        <w:t xml:space="preserve"> </w:t>
      </w:r>
      <m:oMath>
        <m:r>
          <m:t>2.02</m:t>
        </m:r>
        <m:r>
          <m:rPr>
            <m:sty m:val="p"/>
          </m:rPr>
          <m:t>–</m:t>
        </m:r>
      </m:oMath>
      <w:r>
        <w:rPr>
          <w:b/>
          <w:bCs/>
        </w:rPr>
        <w:t xml:space="preserve">2.07 2026 adjusted-EPS range?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the Amazon/ADS and Alphabet arrangements obtained the required Indiana and FERC approvals, or is the timetable still intact?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GenCo generation and battery projects progressing on schedule and within prior cost expectations?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management provide more evidence that the large-load opportunity can grow without pressuring credit metrics or increasing retail-customer risk?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is the latest status and cost-recovery path for the R.M. Schahfer coal facility’s federally directed continued operation?</w:t>
      </w:r>
    </w:p>
    <w:p>
      <w:pPr>
        <w:pStyle w:val="FirstParagraph"/>
      </w:pPr>
      <w:r>
        <w:t xml:space="preserve">My base expectation is for a relatively uneventful underlying quarter, with management focused on reinforcing full-year guidance and offering a more tangible update on data-center commercialization. A clean quarter alone may not be enough for a sustained positive reaction; the market likely wants de-risking of the GenCo approval, build, and funding timeline.</w:t>
      </w:r>
    </w:p>
    <w:p>
      <w:r>
        <w:pict>
          <v:rect style="width:0;height:1.5pt" o:hralign="center" o:hrstd="t" o:hr="t"/>
        </w:pict>
      </w:r>
    </w:p>
    <w:bookmarkEnd w:id="9"/>
    <w:bookmarkStart w:id="12" w:name="what-is-already-embedded-in-the-story"/>
    <w:p>
      <w:pPr>
        <w:pStyle w:val="Heading2"/>
      </w:pPr>
      <w:r>
        <w:t xml:space="preserve">What is already embedded in the story</w:t>
      </w:r>
    </w:p>
    <w:bookmarkStart w:id="10" w:name="X3d2eab1c92ab0ba41feb2137796553d883fbd3b"/>
    <w:p>
      <w:pPr>
        <w:pStyle w:val="Heading3"/>
      </w:pPr>
      <w:r>
        <w:t xml:space="preserve">Core utility plan: solid start, but seasonality matters</w:t>
      </w:r>
    </w:p>
    <w:p>
      <w:pPr>
        <w:pStyle w:val="FirstParagraph"/>
      </w:pPr>
      <w:r>
        <w:t xml:space="preserve">NiSource reported</w:t>
      </w:r>
      <w:r>
        <w:t xml:space="preserve"> </w:t>
      </w:r>
      <w:r>
        <w:rPr>
          <w:b/>
          <w:bCs/>
        </w:rPr>
        <w:t xml:space="preserve">1Q26 adjusted EPS of</w:t>
      </w:r>
      <w:r>
        <w:rPr>
          <w:b/>
          <w:bCs/>
        </w:rPr>
        <w:t xml:space="preserve"> </w:t>
      </w:r>
      <m:oMath>
        <m:r>
          <m:t>1.06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0.98</w:t>
      </w:r>
      <w:r>
        <w:t xml:space="preserve"> </w:t>
      </w:r>
      <w:r>
        <w:t xml:space="preserve">in 1Q25. That represented approximately</w:t>
      </w:r>
      <w:r>
        <w:t xml:space="preserve"> </w:t>
      </w:r>
      <w:r>
        <w:rPr>
          <w:b/>
          <w:bCs/>
        </w:rPr>
        <w:t xml:space="preserve">52% of the midpoint</w:t>
      </w:r>
      <w:r>
        <w:t xml:space="preserve"> </w:t>
      </w:r>
      <w:r>
        <w:t xml:space="preserve">of its</w:t>
      </w:r>
      <w:r>
        <w:t xml:space="preserve"> </w:t>
      </w:r>
      <m:oMath>
        <m:r>
          <m:t>2.02</m:t>
        </m:r>
        <m:r>
          <m:rPr>
            <m:sty m:val="p"/>
          </m:rPr>
          <m:t>–</m:t>
        </m:r>
      </m:oMath>
      <w:r>
        <w:t xml:space="preserve">2.07 full-year adjusted-EPS guidance. The gain was principally driven by regulatory execution and recovery on capital investment, partly offset by higher O&amp;M, depreciation, and interest expense.</w:t>
      </w:r>
    </w:p>
    <w:p>
      <w:pPr>
        <w:pStyle w:val="BodyText"/>
      </w:pPr>
      <w:r>
        <w:t xml:space="preserve">That first-quarter contribution should not be extrapolated mechanically: NiSource’s earnings are meaningfully seasonal, with gas demand making 1Q disproportionately important. In 2Q25, adjusted EPS was only</w:t>
      </w:r>
      <w:r>
        <w:t xml:space="preserve"> </w:t>
      </w:r>
      <m:oMath>
        <m:r>
          <m:t>0.22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A</m:t>
        </m:r>
        <m:r>
          <m:t>n</m:t>
        </m:r>
        <m:r>
          <m:t>8</m:t>
        </m:r>
      </m:oMath>
      <w:r>
        <w:rPr>
          <w:b/>
          <w:bCs/>
        </w:rPr>
        <w:t xml:space="preserve">0.24</w:t>
      </w:r>
      <w:r>
        <w:t xml:space="preserve"> </w:t>
      </w:r>
      <w:r>
        <w:t xml:space="preserve">as a simple reference point—not a forecast—and investors should be more focused on the full-year outlook than on a small quarterly EPS variance.</w:t>
      </w:r>
    </w:p>
    <w:bookmarkEnd w:id="10"/>
    <w:bookmarkStart w:id="11" w:name="X0e04e1c967f1b2dd914c868fd3517f7a04c17a6"/>
    <w:p>
      <w:pPr>
        <w:pStyle w:val="Heading3"/>
      </w:pPr>
      <w:r>
        <w:t xml:space="preserve">The differentiator: Indiana data centers and GenCo</w:t>
      </w:r>
    </w:p>
    <w:p>
      <w:pPr>
        <w:pStyle w:val="FirstParagraph"/>
      </w:pPr>
      <w:r>
        <w:t xml:space="preserve">NiSource’s investment case has shifted from a conventional regulated gas-and-electric utility to a regulated utility with an unusually large large-load growth opportunity in northern Indiana.</w:t>
      </w:r>
    </w:p>
    <w:p>
      <w:pPr>
        <w:pStyle w:val="BodyText"/>
      </w:pPr>
      <w:r>
        <w:t xml:space="preserve">At 1Q results, management disclosed:</w:t>
      </w:r>
    </w:p>
    <w:p>
      <w:pPr>
        <w:pStyle w:val="Compact"/>
        <w:numPr>
          <w:ilvl w:val="0"/>
          <w:numId w:val="1002"/>
        </w:numPr>
      </w:pPr>
      <w:r>
        <w:t xml:space="preserve">A contracted portfolio including</w:t>
      </w:r>
      <w:r>
        <w:t xml:space="preserve"> </w:t>
      </w:r>
      <w:r>
        <w:rPr>
          <w:b/>
          <w:bCs/>
        </w:rPr>
        <w:t xml:space="preserve">Amazon/ADS and Alphabet</w:t>
      </w:r>
      <w:r>
        <w:t xml:space="preserve"> </w:t>
      </w:r>
      <w:r>
        <w:t xml:space="preserve">demand, supported by a GenCo/pool-resource model.</w:t>
      </w:r>
    </w:p>
    <w:p>
      <w:pPr>
        <w:pStyle w:val="Compact"/>
        <w:numPr>
          <w:ilvl w:val="0"/>
          <w:numId w:val="1002"/>
        </w:numPr>
      </w:pPr>
      <w:r>
        <w:t xml:space="preserve">Alphabet capacity beginning in summer 2026 and ramping to</w:t>
      </w:r>
      <w:r>
        <w:t xml:space="preserve"> </w:t>
      </w:r>
      <w:r>
        <w:rPr>
          <w:b/>
          <w:bCs/>
        </w:rPr>
        <w:t xml:space="preserve">300 MW by 2030</w:t>
      </w:r>
      <w:r>
        <w:t xml:space="preserve"> </w:t>
      </w:r>
      <w:r>
        <w:t xml:space="preserve">under a 15-year contract.</w:t>
      </w:r>
    </w:p>
    <w:p>
      <w:pPr>
        <w:pStyle w:val="Compact"/>
        <w:numPr>
          <w:ilvl w:val="0"/>
          <w:numId w:val="1002"/>
        </w:numPr>
      </w:pPr>
      <w:r>
        <w:t xml:space="preserve">Amendments that would raise the ADS/Amazon commitment to</w:t>
      </w:r>
      <w:r>
        <w:t xml:space="preserve"> </w:t>
      </w:r>
      <w:r>
        <w:rPr>
          <w:b/>
          <w:bCs/>
        </w:rPr>
        <w:t xml:space="preserve">2,800 MW by the end of 2032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3 GW</w:t>
      </w:r>
      <w:r>
        <w:t xml:space="preserve"> </w:t>
      </w:r>
      <w:r>
        <w:t xml:space="preserve">of potential demand in strategic negotiations, plus roughly</w:t>
      </w:r>
      <w:r>
        <w:t xml:space="preserve"> </w:t>
      </w:r>
      <w:r>
        <w:rPr>
          <w:b/>
          <w:bCs/>
        </w:rPr>
        <w:t xml:space="preserve">2 GW</w:t>
      </w:r>
      <w:r>
        <w:t xml:space="preserve"> </w:t>
      </w:r>
      <w:r>
        <w:t xml:space="preserve">of earlier-stage development opportunities.</w:t>
      </w:r>
    </w:p>
    <w:p>
      <w:pPr>
        <w:pStyle w:val="Compact"/>
        <w:numPr>
          <w:ilvl w:val="0"/>
          <w:numId w:val="1002"/>
        </w:numPr>
      </w:pPr>
      <w:r>
        <w:t xml:space="preserve">A target of</w:t>
      </w:r>
      <w:r>
        <w:t xml:space="preserve"> </w:t>
      </w:r>
      <m:oMath>
        <m:r>
          <m:t>0.25</m:t>
        </m:r>
        <m:r>
          <m:rPr>
            <m:sty m:val="p"/>
          </m:rPr>
          <m:t>–</m:t>
        </m:r>
      </m:oMath>
      <w:r>
        <w:rPr>
          <w:b/>
          <w:bCs/>
        </w:rPr>
        <w:t xml:space="preserve">0.35 of GenCo EPS by 2030</w:t>
      </w:r>
      <w:r>
        <w:t xml:space="preserve"> </w:t>
      </w:r>
      <w:r>
        <w:t xml:space="preserve">and</w:t>
      </w:r>
      <w:r>
        <w:t xml:space="preserve"> </w:t>
      </w:r>
      <m:oMath>
        <m:r>
          <m:t>0.40</m:t>
        </m:r>
        <m:r>
          <m:rPr>
            <m:sty m:val="p"/>
          </m:rPr>
          <m:t>–</m:t>
        </m:r>
      </m:oMath>
      <w:r>
        <w:rPr>
          <w:b/>
          <w:bCs/>
        </w:rPr>
        <w:t xml:space="preserve">0.60 by 2033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 consolidated adjusted-EPS CAGR target of</w:t>
      </w:r>
      <w:r>
        <w:t xml:space="preserve"> </w:t>
      </w:r>
      <w:r>
        <w:rPr>
          <w:b/>
          <w:bCs/>
        </w:rPr>
        <w:t xml:space="preserve">9%–10% through 2033</w:t>
      </w:r>
      <w:r>
        <w:t xml:space="preserve">, which management has said includes signed contracts—not the additional 3 GW of strategic-negotiation opportunities.</w:t>
      </w:r>
    </w:p>
    <w:p>
      <w:pPr>
        <w:pStyle w:val="FirstParagraph"/>
      </w:pPr>
      <w:r>
        <w:t xml:space="preserve">That last distinction is important: the upside pipeline is material, but it is not necessary for the current long-term growth framework. Conversely, the premium valuation logic depends on signed contracts becoming approved, constructed, supplied, and funded as planned.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the-key-2q26-watch-items"/>
    <w:p>
      <w:pPr>
        <w:pStyle w:val="Heading2"/>
      </w:pPr>
      <w:r>
        <w:t xml:space="preserve">The key 2Q26 watch items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Topic</w:t>
            </w:r>
          </w:p>
        </w:tc>
        <w:tc>
          <w:tcPr/>
          <w:p>
            <w:pPr>
              <w:pStyle w:val="Compact"/>
            </w:pPr>
            <w:r>
              <w:t xml:space="preserve">What investors should look for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2026 EPS guidance</w:t>
            </w:r>
          </w:p>
        </w:tc>
        <w:tc>
          <w:tcPr/>
          <w:p>
            <w:pPr>
              <w:pStyle w:val="Compact"/>
            </w:pPr>
            <w:r>
              <w:t xml:space="preserve">Reaffirmation of</w:t>
            </w:r>
            <w:r>
              <w:t xml:space="preserve"> </w:t>
            </w:r>
            <m:oMath>
              <m:r>
                <m:t>2.02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2.07</w:t>
            </w:r>
            <w:r>
              <w:t xml:space="preserve"> </w:t>
            </w:r>
            <w:r>
              <w:t xml:space="preserve">adjusted EPS; any commentary on where results sit within the range</w:t>
            </w:r>
          </w:p>
        </w:tc>
        <w:tc>
          <w:tcPr/>
          <w:p>
            <w:pPr>
              <w:pStyle w:val="Compact"/>
            </w:pPr>
            <w:r>
              <w:t xml:space="preserve">Guidance maintenance is the minimum requirement after a strong 1Q.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Amazon/ADS approval</w:t>
            </w:r>
          </w:p>
        </w:tc>
        <w:tc>
          <w:tcPr/>
          <w:p>
            <w:pPr>
              <w:pStyle w:val="Compact"/>
            </w:pPr>
            <w:r>
              <w:t xml:space="preserve">Confirmation of Indiana Utility Regulatory Commission approval and implications for the expedited process on later contracts</w:t>
            </w:r>
          </w:p>
        </w:tc>
        <w:tc>
          <w:tcPr/>
          <w:p>
            <w:pPr>
              <w:pStyle w:val="Compact"/>
            </w:pPr>
            <w:r>
              <w:t xml:space="preserve">The original approval is a major gating item for the broader GenCo strategy.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Alphabet and ADS amendments</w:t>
            </w:r>
          </w:p>
        </w:tc>
        <w:tc>
          <w:tcPr/>
          <w:p>
            <w:pPr>
              <w:pStyle w:val="Compact"/>
            </w:pPr>
            <w:r>
              <w:t xml:space="preserve">Status of IURC and FERC reviews, expected approval dates, and whether the proposed 90–120-day process remains valid</w:t>
            </w:r>
          </w:p>
        </w:tc>
        <w:tc>
          <w:tcPr/>
          <w:p>
            <w:pPr>
              <w:pStyle w:val="Compact"/>
            </w:pPr>
            <w:r>
              <w:t xml:space="preserve">Approval timing determines when contractual economics and construction plans can become more investable.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Construction execution</w:t>
            </w:r>
          </w:p>
        </w:tc>
        <w:tc>
          <w:tcPr/>
          <w:p>
            <w:pPr>
              <w:pStyle w:val="Compact"/>
            </w:pPr>
            <w:r>
              <w:t xml:space="preserve">Mobilization status for the combined-cycle gas project, battery-storage projects, equipment delivery, labor availability, and cost trends</w:t>
            </w:r>
          </w:p>
        </w:tc>
        <w:tc>
          <w:tcPr/>
          <w:p>
            <w:pPr>
              <w:pStyle w:val="Compact"/>
            </w:pPr>
            <w:r>
              <w:t xml:space="preserve">The thesis shifts from contract execution to project-delivery risk in the second half.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GenCo capital and funding</w:t>
            </w:r>
          </w:p>
        </w:tc>
        <w:tc>
          <w:tcPr/>
          <w:p>
            <w:pPr>
              <w:pStyle w:val="Compact"/>
            </w:pPr>
            <w:r>
              <w:t xml:space="preserve">Updated capital-spending phasing, use of third-party structures/capacity purchases, debt financing, equity needs, and credit-metric outlook</w:t>
            </w:r>
          </w:p>
        </w:tc>
        <w:tc>
          <w:tcPr/>
          <w:p>
            <w:pPr>
              <w:pStyle w:val="Compact"/>
            </w:pPr>
            <w:r>
              <w:t xml:space="preserve">NI must fund a much larger investment program without sacrificing investment-grade ratings.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Large-load pipeline</w:t>
            </w:r>
          </w:p>
        </w:tc>
        <w:tc>
          <w:tcPr/>
          <w:p>
            <w:pPr>
              <w:pStyle w:val="Compact"/>
            </w:pPr>
            <w:r>
              <w:t xml:space="preserve">Whether the 3 GW in strategic negotiations is converting into contracts, and whether prospects are being pushed out or resized</w:t>
            </w:r>
          </w:p>
        </w:tc>
        <w:tc>
          <w:tcPr/>
          <w:p>
            <w:pPr>
              <w:pStyle w:val="Compact"/>
            </w:pPr>
            <w:r>
              <w:t xml:space="preserve">Pipeline momentum supports upside, but the market should distinguish between signed demand and preliminary discussions.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Schahfer coal plant</w:t>
            </w:r>
          </w:p>
        </w:tc>
        <w:tc>
          <w:tcPr/>
          <w:p>
            <w:pPr>
              <w:pStyle w:val="Compact"/>
            </w:pPr>
            <w:r>
              <w:t xml:space="preserve">Status of federal emergency-operation directives, outage/reliability performance, and FERC/IURC cost recovery</w:t>
            </w:r>
          </w:p>
        </w:tc>
        <w:tc>
          <w:tcPr/>
          <w:p>
            <w:pPr>
              <w:pStyle w:val="Compact"/>
            </w:pPr>
            <w:r>
              <w:t xml:space="preserve">Extended operation could create operational and cash-flow noise outside the preferred generation-transition plan.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Affordability and regulation</w:t>
            </w:r>
          </w:p>
        </w:tc>
        <w:tc>
          <w:tcPr/>
          <w:p>
            <w:pPr>
              <w:pStyle w:val="Compact"/>
            </w:pPr>
            <w:r>
              <w:t xml:space="preserve">Customer-bill savings from GenCo, Pennsylvania and Ohio regulatory developments, and any signs of tougher rate-setting</w:t>
            </w:r>
          </w:p>
        </w:tc>
        <w:tc>
          <w:tcPr/>
          <w:p>
            <w:pPr>
              <w:pStyle w:val="Compact"/>
            </w:pPr>
            <w:r>
              <w:t xml:space="preserve">The data-center model depends partly on demonstrating that existing customers benefit rather than subsidize new load.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6" w:name="X8a684fe3803fb6652a351df92e3017c4bcfa9b2"/>
    <w:p>
      <w:pPr>
        <w:pStyle w:val="Heading2"/>
      </w:pPr>
      <w:r>
        <w:t xml:space="preserve">Why GenCo remains both the opportunity and the risk</w:t>
      </w:r>
    </w:p>
    <w:bookmarkStart w:id="14" w:name="X3c4569fe0d00896425f23468a5293f9fc017636"/>
    <w:p>
      <w:pPr>
        <w:pStyle w:val="Heading3"/>
      </w:pPr>
      <w:r>
        <w:t xml:space="preserve">Bull case: a rare regulated large-load growth platform</w:t>
      </w:r>
    </w:p>
    <w:p>
      <w:pPr>
        <w:pStyle w:val="FirstParagraph"/>
      </w:pPr>
      <w:r>
        <w:t xml:space="preserve">The positive scenario is straightforward. NiSource has a differentiated structure for providing time-to-power to hyperscale customers while using contractual payments, minimum demand commitments, credit support, and customer-benefit mechanisms to protect existing customers.</w:t>
      </w:r>
    </w:p>
    <w:p>
      <w:pPr>
        <w:pStyle w:val="BodyText"/>
      </w:pPr>
      <w:r>
        <w:t xml:space="preserve">Management has framed the existing Amazon and Alphabet arrangements as producing about</w:t>
      </w:r>
      <w:r>
        <w:t xml:space="preserve"> </w:t>
      </w:r>
      <m:oMath>
        <m:r>
          <m:t>1.4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t>f</m:t>
        </m:r>
        <m:r>
          <m:t>o</m:t>
        </m:r>
        <m:r>
          <m:t>r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c</m:t>
        </m:r>
        <m:r>
          <m:t>u</m:t>
        </m:r>
        <m:r>
          <m:t>s</m:t>
        </m:r>
        <m:r>
          <m:t>t</m:t>
        </m:r>
        <m:r>
          <m:t>o</m:t>
        </m:r>
        <m:r>
          <m:t>m</m:t>
        </m:r>
        <m:r>
          <m:t>e</m:t>
        </m:r>
        <m:r>
          <m:t>r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v</m:t>
        </m:r>
        <m:r>
          <m:t>e</m:t>
        </m:r>
        <m:r>
          <m:t>r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b</m:t>
        </m:r>
        <m:r>
          <m:t>i</m:t>
        </m:r>
        <m:r>
          <m:t>l</m:t>
        </m:r>
        <m:r>
          <m:t>l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t>o</m:t>
        </m:r>
        <m:r>
          <m:t>f</m:t>
        </m:r>
        <m:r>
          <m:t>u</m:t>
        </m:r>
        <m:r>
          <m:t>p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124</w:t>
      </w:r>
      <w:r>
        <w:t xml:space="preserve"> </w:t>
      </w:r>
      <w:r>
        <w:t xml:space="preserve">for residential customers. If the company can demonstrate that those savings are contractual, durable, and regulator-supported, GenCo could be both politically attractive and earnings accretive.</w:t>
      </w:r>
    </w:p>
    <w:p>
      <w:pPr>
        <w:pStyle w:val="BodyText"/>
      </w:pPr>
      <w:r>
        <w:t xml:space="preserve">The company also has a credible core regulated base behind the incremental opportunity: it continues to invest in gas-system modernization, electric reliability, generation transition, and transmission. That base business has a five-year capital plan of roughly</w:t>
      </w:r>
      <w:r>
        <w:t xml:space="preserve"> </w:t>
      </w:r>
      <w:r>
        <w:rPr>
          <w:b/>
          <w:bCs/>
        </w:rPr>
        <w:t xml:space="preserve">$21 billion</w:t>
      </w:r>
      <w:r>
        <w:t xml:space="preserve">, plus identified upside opportunities, before considering much of the incremental GenCo opportunity.</w:t>
      </w:r>
    </w:p>
    <w:bookmarkEnd w:id="14"/>
    <w:bookmarkStart w:id="15" w:name="Xe4a0f945e2a75b8929057ae18bf71d1a5259cca"/>
    <w:p>
      <w:pPr>
        <w:pStyle w:val="Heading3"/>
      </w:pPr>
      <w:r>
        <w:t xml:space="preserve">Bear case: execution and financing become more consequential</w:t>
      </w:r>
    </w:p>
    <w:p>
      <w:pPr>
        <w:pStyle w:val="FirstParagraph"/>
      </w:pPr>
      <w:r>
        <w:t xml:space="preserve">The new strategy has risks that are not typical for a slow-and-steady regulated utility: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Regulatory approval risk:</w:t>
      </w:r>
      <w:r>
        <w:t xml:space="preserve"> </w:t>
      </w:r>
      <w:r>
        <w:t xml:space="preserve">Special contracts, PPAs, and generation arrangements require approvals. Timing slippage can delay revenue and construction.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Construction and supply-chain risk:</w:t>
      </w:r>
      <w:r>
        <w:t xml:space="preserve"> </w:t>
      </w:r>
      <w:r>
        <w:t xml:space="preserve">Combined-cycle generation, batteries, transmission, and interconnection work all face labor, equipment, permitting, and cost-inflation exposure.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Contract/counterparty risk:</w:t>
      </w:r>
      <w:r>
        <w:t xml:space="preserve"> </w:t>
      </w:r>
      <w:r>
        <w:t xml:space="preserve">Long-term contracts include protections, but a large portion of the opportunity is concentrated in a small set of very large customers.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MISO capacity-accreditation risk:</w:t>
      </w:r>
      <w:r>
        <w:t xml:space="preserve"> </w:t>
      </w:r>
      <w:r>
        <w:t xml:space="preserve">The amount of dependable capacity attributed to batteries and other resources can affect the quantity of assets needed to serve committed load.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Funding and dilution risk:</w:t>
      </w:r>
      <w:r>
        <w:t xml:space="preserve"> </w:t>
      </w:r>
      <w:r>
        <w:t xml:space="preserve">NiSource’s plan contemplates approximately</w:t>
      </w:r>
      <w: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600 million of annual equity issuance</w:t>
      </w:r>
      <w:r>
        <w:t xml:space="preserve">, alongside debt and operating cash flow. The company had approximately</w:t>
      </w:r>
      <w:r>
        <w:t xml:space="preserve"> </w:t>
      </w:r>
      <w:r>
        <w:rPr>
          <w:b/>
          <w:bCs/>
        </w:rPr>
        <w:t xml:space="preserve">$1.25 billion</w:t>
      </w:r>
      <w:r>
        <w:t xml:space="preserve"> </w:t>
      </w:r>
      <w:r>
        <w:t xml:space="preserve">of remaining ATM capacity at March 31, 2026, inclusive of forward-sale arrangements.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Balance-sheet risk:</w:t>
      </w:r>
      <w:r>
        <w:t xml:space="preserve"> </w:t>
      </w:r>
      <w:r>
        <w:t xml:space="preserve">Contract and pool-resource assets for existing data-center customers were estimated at</w:t>
      </w:r>
      <w:r>
        <w:t xml:space="preserve"> </w:t>
      </w:r>
      <m:oMath>
        <m:r>
          <m:t>9.25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9.75 billion</w:t>
      </w:r>
      <w:r>
        <w:t xml:space="preserve">. Even if assets are contractually supported, the funding burden is substantial.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financial-setup-and-stock-context"/>
    <w:p>
      <w:pPr>
        <w:pStyle w:val="Heading2"/>
      </w:pPr>
      <w:r>
        <w:t xml:space="preserve">Financial setup and stock context</w:t>
      </w:r>
    </w:p>
    <w:p>
      <w:pPr>
        <w:pStyle w:val="FirstParagraph"/>
      </w:pPr>
      <w:r>
        <w:t xml:space="preserve">NI closed at</w:t>
      </w:r>
      <w:r>
        <w:t xml:space="preserve"> </w:t>
      </w:r>
      <w:r>
        <w:rPr>
          <w:b/>
          <w:bCs/>
        </w:rPr>
        <w:t xml:space="preserve">$44.54 on August 4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5.6%</w:t>
      </w:r>
      <w:r>
        <w:t xml:space="preserve"> </w:t>
      </w:r>
      <w:r>
        <w:t xml:space="preserve">year to date, versus roughly</w:t>
      </w:r>
      <w:r>
        <w:t xml:space="preserve"> </w:t>
      </w:r>
      <w:r>
        <w:rPr>
          <w:b/>
          <w:bCs/>
        </w:rPr>
        <w:t xml:space="preserve">2.2%</w:t>
      </w:r>
      <w:r>
        <w:t xml:space="preserve"> </w:t>
      </w:r>
      <w:r>
        <w:t xml:space="preserve">for the Utilities Select Sector SPDR ETF over the same period. However, the stock was about</w:t>
      </w:r>
      <w:r>
        <w:t xml:space="preserve"> </w:t>
      </w:r>
      <w:r>
        <w:rPr>
          <w:b/>
          <w:bCs/>
        </w:rPr>
        <w:t xml:space="preserve">9.3% below</w:t>
      </w:r>
      <w:r>
        <w:t xml:space="preserve"> </w:t>
      </w:r>
      <w:r>
        <w:t xml:space="preserve">its June 26 closing high of $49.08.</w:t>
      </w:r>
    </w:p>
    <w:p>
      <w:pPr>
        <w:pStyle w:val="BodyText"/>
      </w:pPr>
      <w:r>
        <w:t xml:space="preserve">That pattern suggests investors have recognized the strategic value of the data-center opportunity but remain unwilling to fully capitalize the longer-term upside before more milestones are cleared. In other words, the setup appears more dependent on</w:t>
      </w:r>
      <w:r>
        <w:t xml:space="preserve"> </w:t>
      </w:r>
      <w:r>
        <w:rPr>
          <w:b/>
          <w:bCs/>
        </w:rPr>
        <w:t xml:space="preserve">evidence of execution</w:t>
      </w:r>
      <w:r>
        <w:t xml:space="preserve"> </w:t>
      </w:r>
      <w:r>
        <w:t xml:space="preserve">than on a routine quarterly EPS beat.</w:t>
      </w:r>
    </w:p>
    <w:p>
      <w:r>
        <w:pict>
          <v:rect style="width:0;height:1.5pt" o:hralign="center" o:hrstd="t" o:hr="t"/>
        </w:pict>
      </w:r>
    </w:p>
    <w:bookmarkEnd w:id="17"/>
    <w:bookmarkStart w:id="18" w:name="potential-positive-catalysts"/>
    <w:p>
      <w:pPr>
        <w:pStyle w:val="Heading2"/>
      </w:pPr>
      <w:r>
        <w:t xml:space="preserve">Potential positive catalysts</w:t>
      </w:r>
    </w:p>
    <w:p>
      <w:pPr>
        <w:pStyle w:val="Compact"/>
        <w:numPr>
          <w:ilvl w:val="0"/>
          <w:numId w:val="1004"/>
        </w:numPr>
      </w:pPr>
      <w:r>
        <w:t xml:space="preserve">Reaffirmed 2026 adjusted-EPS guidance, ideally with confidence in achieving the upper half.</w:t>
      </w:r>
    </w:p>
    <w:p>
      <w:pPr>
        <w:pStyle w:val="Compact"/>
        <w:numPr>
          <w:ilvl w:val="0"/>
          <w:numId w:val="1004"/>
        </w:numPr>
      </w:pPr>
      <w:r>
        <w:t xml:space="preserve">Confirmed approval of the initial Amazon/ADS contract or a clear, near-term regulatory path.</w:t>
      </w:r>
    </w:p>
    <w:p>
      <w:pPr>
        <w:pStyle w:val="Compact"/>
        <w:numPr>
          <w:ilvl w:val="0"/>
          <w:numId w:val="1004"/>
        </w:numPr>
      </w:pPr>
      <w:r>
        <w:t xml:space="preserve">No deterioration in GenCo construction timing, resource procurement, or cost expectations.</w:t>
      </w:r>
    </w:p>
    <w:p>
      <w:pPr>
        <w:pStyle w:val="Compact"/>
        <w:numPr>
          <w:ilvl w:val="0"/>
          <w:numId w:val="1004"/>
        </w:numPr>
      </w:pPr>
      <w:r>
        <w:t xml:space="preserve">Greater disclosure around contractual protections, customer payments, and the economics of pooled resources.</w:t>
      </w:r>
    </w:p>
    <w:p>
      <w:pPr>
        <w:pStyle w:val="Compact"/>
        <w:numPr>
          <w:ilvl w:val="0"/>
          <w:numId w:val="1004"/>
        </w:numPr>
      </w:pPr>
      <w:r>
        <w:t xml:space="preserve">A signed incremental data-center contract that advances the 3 GW strategic-negotiation pipeline.</w:t>
      </w:r>
    </w:p>
    <w:p>
      <w:pPr>
        <w:pStyle w:val="Compact"/>
        <w:numPr>
          <w:ilvl w:val="0"/>
          <w:numId w:val="1004"/>
        </w:numPr>
      </w:pPr>
      <w:r>
        <w:t xml:space="preserve">Evidence that core O&amp;M discipline is offsetting higher depreciation and interest expense.</w:t>
      </w:r>
    </w:p>
    <w:p>
      <w:pPr>
        <w:pStyle w:val="Compact"/>
        <w:numPr>
          <w:ilvl w:val="0"/>
          <w:numId w:val="1004"/>
        </w:numPr>
      </w:pPr>
      <w:r>
        <w:t xml:space="preserve">Resolution or favorable recovery mechanics for costs tied to continued Schahfer operation.</w:t>
      </w:r>
    </w:p>
    <w:bookmarkEnd w:id="18"/>
    <w:bookmarkStart w:id="19" w:name="potential-negative-catalysts"/>
    <w:p>
      <w:pPr>
        <w:pStyle w:val="Heading2"/>
      </w:pPr>
      <w:r>
        <w:t xml:space="preserve">Potential negative catalysts</w:t>
      </w:r>
    </w:p>
    <w:p>
      <w:pPr>
        <w:pStyle w:val="Compact"/>
        <w:numPr>
          <w:ilvl w:val="0"/>
          <w:numId w:val="1005"/>
        </w:numPr>
      </w:pPr>
      <w:r>
        <w:t xml:space="preserve">A guidance cut, or a reaffirmation qualified by weather, cost, regulatory, or project-execution headwinds.</w:t>
      </w:r>
    </w:p>
    <w:p>
      <w:pPr>
        <w:pStyle w:val="Compact"/>
        <w:numPr>
          <w:ilvl w:val="0"/>
          <w:numId w:val="1005"/>
        </w:numPr>
      </w:pPr>
      <w:r>
        <w:t xml:space="preserve">Delayed or more contested IURC/FERC approvals.</w:t>
      </w:r>
    </w:p>
    <w:p>
      <w:pPr>
        <w:pStyle w:val="Compact"/>
        <w:numPr>
          <w:ilvl w:val="0"/>
          <w:numId w:val="1005"/>
        </w:numPr>
      </w:pPr>
      <w:r>
        <w:t xml:space="preserve">Higher GenCo capital requirements, more equity needs, or weaker-than-targeted FFO-to-debt metrics.</w:t>
      </w:r>
    </w:p>
    <w:p>
      <w:pPr>
        <w:pStyle w:val="Compact"/>
        <w:numPr>
          <w:ilvl w:val="0"/>
          <w:numId w:val="1005"/>
        </w:numPr>
      </w:pPr>
      <w:r>
        <w:t xml:space="preserve">Evidence that capacity purchases or construction costs reduce the expected GenCo earnings contribution.</w:t>
      </w:r>
    </w:p>
    <w:p>
      <w:pPr>
        <w:pStyle w:val="Compact"/>
        <w:numPr>
          <w:ilvl w:val="0"/>
          <w:numId w:val="1005"/>
        </w:numPr>
      </w:pPr>
      <w:r>
        <w:t xml:space="preserve">Delays in equipment delivery, EPC mobilization, interconnection, or battery-project execution.</w:t>
      </w:r>
    </w:p>
    <w:p>
      <w:pPr>
        <w:pStyle w:val="Compact"/>
        <w:numPr>
          <w:ilvl w:val="0"/>
          <w:numId w:val="1005"/>
        </w:numPr>
      </w:pPr>
      <w:r>
        <w:t xml:space="preserve">Incremental customer-affordability or political pressure that complicates rate recovery or data-center economics.</w:t>
      </w:r>
    </w:p>
    <w:p>
      <w:pPr>
        <w:pStyle w:val="Compact"/>
        <w:numPr>
          <w:ilvl w:val="0"/>
          <w:numId w:val="1005"/>
        </w:numPr>
      </w:pPr>
      <w:r>
        <w:t xml:space="preserve">Unfavorable developments in the Schahfer reliability/cost-recovery process.</w:t>
      </w:r>
    </w:p>
    <w:p>
      <w:r>
        <w:pict>
          <v:rect style="width:0;height:1.5pt" o:hralign="center" o:hrstd="t" o:hr="t"/>
        </w:pict>
      </w:r>
    </w:p>
    <w:bookmarkEnd w:id="19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NiSource is likely to be judged on its ability to turn an attractive strategic narrative into verified execution.</w:t>
      </w:r>
      <w:r>
        <w:t xml:space="preserve"> </w:t>
      </w:r>
      <w:r>
        <w:t xml:space="preserve">The core regulated business should provide a stable earnings base, and 1Q results supported the 2026 plan. But the stock’s upside rests on GenCo: approvals, construction progress, risk allocation, customer credits, and a credible funding plan.</w:t>
      </w:r>
    </w:p>
    <w:p>
      <w:pPr>
        <w:pStyle w:val="BodyText"/>
      </w:pPr>
      <w:r>
        <w:t xml:space="preserve">For the 2Q report, the most constructive outcome would be</w:t>
      </w:r>
      <w:r>
        <w:t xml:space="preserve"> </w:t>
      </w:r>
      <w:r>
        <w:rPr>
          <w:b/>
          <w:bCs/>
        </w:rPr>
        <w:t xml:space="preserve">guidance reaffirmation plus concrete regulatory and construction progress</w:t>
      </w:r>
      <w:r>
        <w:t xml:space="preserve">. The most concerning outcome would be not a modest EPS miss, but any indication that GenCo approvals, economics, capital needs, or credit protections are less certain than investors currently expect.</w:t>
      </w:r>
    </w:p>
    <w:bookmarkStart w:id="20" w:name="primary-source-materials-reviewed"/>
    <w:p>
      <w:pPr>
        <w:pStyle w:val="Heading3"/>
      </w:pPr>
      <w:r>
        <w:t xml:space="preserve">Primary source materials reviewed</w:t>
      </w:r>
    </w:p>
    <w:p>
      <w:pPr>
        <w:pStyle w:val="Compact"/>
        <w:numPr>
          <w:ilvl w:val="0"/>
          <w:numId w:val="1006"/>
        </w:numPr>
      </w:pPr>
      <w:r>
        <w:t xml:space="preserve">NiSource 1Q26 earnings release, May 6, 2026</w:t>
      </w:r>
    </w:p>
    <w:p>
      <w:pPr>
        <w:pStyle w:val="Compact"/>
        <w:numPr>
          <w:ilvl w:val="0"/>
          <w:numId w:val="1006"/>
        </w:numPr>
      </w:pPr>
      <w:r>
        <w:t xml:space="preserve">NiSource 1Q26 earnings-call transcript, May 6, 2026</w:t>
      </w:r>
    </w:p>
    <w:p>
      <w:pPr>
        <w:pStyle w:val="Compact"/>
        <w:numPr>
          <w:ilvl w:val="0"/>
          <w:numId w:val="1006"/>
        </w:numPr>
      </w:pPr>
      <w:r>
        <w:t xml:space="preserve">NiSource 1Q26 Form 10-Q, including MD&amp;A and liquidity disclosures</w:t>
      </w:r>
    </w:p>
    <w:p>
      <w:pPr>
        <w:pStyle w:val="Compact"/>
        <w:numPr>
          <w:ilvl w:val="0"/>
          <w:numId w:val="1006"/>
        </w:numPr>
      </w:pPr>
      <w:r>
        <w:t xml:space="preserve">NiSource 2Q26 earnings-date announcement, July 22, 2026</w:t>
      </w:r>
    </w:p>
    <w:p>
      <w:pPr>
        <w:pStyle w:val="Compact"/>
        <w:numPr>
          <w:ilvl w:val="0"/>
          <w:numId w:val="1006"/>
        </w:numPr>
      </w:pPr>
      <w:r>
        <w:t xml:space="preserve">NiSource 2Q25 earnings release, August 6, 2025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2026-08-05T00:34:18Z</dcterms:created>
  <dcterms:modified xsi:type="dcterms:W3CDTF">2026-08-05T00:34:18Z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