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425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1,350M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Texas segment Adjusted EBITDA (Q2'26, ERCOT summer proxy)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560M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 (reaffirm vs 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~$5,575M mid (range</w:t>
            </w:r>
            <w:r>
              <w:t xml:space="preserve"> 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325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,</m:t>
              </m:r>
              <m:r>
                <m:t>825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5,600M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~$8.90 mid (range</w:t>
            </w:r>
            <w:r>
              <w:t xml:space="preserve"> </w:t>
            </w:r>
            <m:oMath>
              <m:r>
                <m:t>7.90</m:t>
              </m:r>
              <m:r>
                <m:rPr>
                  <m:sty m:val="p"/>
                </m:rPr>
                <m:t>−</m:t>
              </m:r>
              <m:r>
                <m:t>9.90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First signed large-load/data-center generation deal (the catalyst)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~0 GW signed (progress-only) vs. cons hope ~1 GW first deal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PJM 2028/29 capacity contribution (already disclosed 7/14)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~6,839 MW @</w:t>
            </w:r>
            <w:r>
              <w:t xml:space="preserve"> </w:t>
            </w:r>
            <m:oMath>
              <m:r>
                <m:t>325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W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800M annualized gross) vs. cons ~$0 prior baked-in (2028/29)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(</m:t>
              </m:r>
            </m:oMath>
            <w:r>
              <w:t xml:space="preserve">817M done thru 4/30) vs. cons ~$1.0B plan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 Q2 beat with only a reaffirmed (not raised) FY2026 guide mechanically marks down the implied H2 (Q3+Q4) run-rate — the classic implicit cut that pulls out-period estimates lower even after a headline beat. Layer on soft ERCOT forward curves and, in the base case, no signed large-load/data-center deal (the actual narrative catalyst), and any initial pop in this high-beta, de-rated AI-power name fades as the real summer/Q3 test and deal proof are still ahead.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2026-08-04T01:01:15Z</dcterms:created>
  <dcterms:modified xsi:type="dcterms:W3CDTF">2026-08-04T01:01:15Z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