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rg-earnings-predictions--2026-08-04"/>
    <w:p>
      <w:pPr>
        <w:pStyle w:val="Heading1"/>
      </w:pPr>
      <w:r>
        <w:t xml:space="preserve">NRG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(2Q26)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~$1.72 vs. cons $1.78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(2Q26)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~$1.30B vs. cons $1.35B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(2Q26)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~$6.40B vs. cons $6.65B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7.90</m:t>
              </m:r>
              <m:r>
                <m:rPr>
                  <m:sty m:val="p"/>
                </m:rPr>
                <m:t>−</m:t>
              </m:r>
            </m:oMath>
            <w:r>
              <w:t xml:space="preserve">9.90 (mid $8.90) vs. cons $8.89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</m:t>
              </m:r>
              <m:r>
                <m:rPr>
                  <m:sty m:val="p"/>
                </m:rPr>
                <m:t>,</m:t>
              </m:r>
              <m:r>
                <m:t>325</m:t>
              </m:r>
              <m:r>
                <m:rPr>
                  <m:sty m:val="p"/>
                </m:rPr>
                <m:t>−</m:t>
              </m:r>
            </m:oMath>
            <w:r>
              <w:t xml:space="preserve">5,825M (mid $5,575M) vs. cons $5,575M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 before Growth (FCFbG)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800</m:t>
              </m:r>
              <m:r>
                <m:rPr>
                  <m:sty m:val="p"/>
                </m:rPr>
                <m:t>−</m:t>
              </m:r>
            </m:oMath>
            <w:r>
              <w:t xml:space="preserve">3,300M (mid $3,050M) vs. cons $3,000M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Large-load/data-center binding contracts signed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~0 new binding agreements disclosed vs. cons ~1 anticipated (2026)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Shareholder return target (buybacks+dividends)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</m:t>
              </m:r>
              <m:r>
                <m:t>B</m:t>
              </m:r>
              <m:r>
                <m:t>t</m:t>
              </m:r>
              <m:r>
                <m:t>o</m:t>
              </m:r>
              <m:r>
                <m:t>t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t>n</m:t>
              </m:r>
              <m:r>
                <m:t>c</m:t>
              </m:r>
              <m:r>
                <m:t>l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1.0B buyback) vs. cons ~$1.4B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PJM 2028-29 BRA incremental EBITDA quantification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−</m:t>
              </m:r>
              <m:r>
                <m:t>400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 expected (2028-2029 delivery 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A modest headline EPS/EBITDA miss (weak ERCOT summer pricing per ERCOT's own lower forward-price outlook, plus elevated interest expense from the LS Power debt load) triggers an initial sell-the-news drop despite reaffirmed FY26 ranges; because guidance bands are unchanged rather than raised, sell-side models still need to trim in-year run-rate estimates to stay inside the low end of the range, and the stock's recent +11% run into the print (from $124 to $138.50) leaves it vulnerable to profit-taking as analysts push out large-load monetization and shave 2H26 numbers, producing continued drift lower over the week even if PJM auction commentary is incrementally positive for out-years.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2026-08-04T01:02:57Z</dcterms:created>
  <dcterms:modified xsi:type="dcterms:W3CDTF">2026-08-04T01:02:57Z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