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now have enough to write a comprehensive earnings preview. Let me pull one more data point on current leverage/net debt and confirm dividend growth guidance before writing.# NRG Energy (NRG) — 2Q26 Earnings Preview</w:t>
      </w:r>
      <w:r>
        <w:t xml:space="preserve"> </w:t>
      </w:r>
      <w:r>
        <w:rPr>
          <w:b/>
          <w:bCs/>
        </w:rPr>
        <w:t xml:space="preserve">Report date:</w:t>
      </w:r>
      <w:r>
        <w:t xml:space="preserve"> </w:t>
      </w:r>
      <w:r>
        <w:t xml:space="preserve">Tuesday, August 4, 2026, before market open |</w:t>
      </w:r>
      <w:r>
        <w:t xml:space="preserve"> </w:t>
      </w:r>
      <w:r>
        <w:rPr>
          <w:b/>
          <w:bCs/>
        </w:rPr>
        <w:t xml:space="preserve">Call:</w:t>
      </w:r>
      <w:r>
        <w:t xml:space="preserve"> </w:t>
      </w:r>
      <w:r>
        <w:t xml:space="preserve">9:00 a.m. ET</w: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Consensus EPS (2Q26)</w:t>
            </w:r>
          </w:p>
        </w:tc>
        <w:tc>
          <w:tcPr/>
          <w:p>
            <w:pPr>
              <w:pStyle w:val="Compact"/>
            </w:pPr>
            <w:r>
              <w:t xml:space="preserve">~</w:t>
            </w:r>
            <m:oMath>
              <m:r>
                <m:t>1.66</m:t>
              </m:r>
              <m:r>
                <m:rPr>
                  <m:sty m:val="p"/>
                </m:rPr>
                <m:t>–</m:t>
              </m:r>
            </m:oMath>
            <w:r>
              <w:t xml:space="preserve">1.83 (estimates vary by source)</w:t>
            </w:r>
          </w:p>
        </w:tc>
      </w:tr>
      <w:tr>
        <w:tc>
          <w:tcPr/>
          <w:p>
            <w:pPr>
              <w:pStyle w:val="Compact"/>
            </w:pPr>
            <w:r>
              <w:t xml:space="preserve">Year-ago EPS (2Q25)</w:t>
            </w:r>
          </w:p>
        </w:tc>
        <w:tc>
          <w:tcPr/>
          <w:p>
            <w:pPr>
              <w:pStyle w:val="Compact"/>
            </w:pPr>
            <w:r>
              <w:t xml:space="preserve">$1.68</w:t>
            </w:r>
          </w:p>
        </w:tc>
      </w:tr>
      <w:tr>
        <w:tc>
          <w:tcPr/>
          <w:p>
            <w:pPr>
              <w:pStyle w:val="Compact"/>
            </w:pPr>
            <w:r>
              <w:t xml:space="preserve">Consensus revenue</w:t>
            </w:r>
          </w:p>
        </w:tc>
        <w:tc>
          <w:tcPr/>
          <w:p>
            <w:pPr>
              <w:pStyle w:val="Compact"/>
            </w:pPr>
            <w:r>
              <w:t xml:space="preserve">~</w:t>
            </w:r>
            <m:oMath>
              <m:r>
                <m:t>6.0</m:t>
              </m:r>
              <m:r>
                <m:t>B</m:t>
              </m:r>
              <m:r>
                <m:rPr>
                  <m:sty m:val="p"/>
                </m:rPr>
                <m:t>–</m:t>
              </m:r>
            </m:oMath>
            <w:r>
              <w:t xml:space="preserve">7.3B</w:t>
            </w:r>
          </w:p>
        </w:tc>
      </w:tr>
      <w:tr>
        <w:tc>
          <w:tcPr/>
          <w:p>
            <w:pPr>
              <w:pStyle w:val="Compact"/>
            </w:pPr>
            <w:r>
              <w:t xml:space="preserve">FY26 guidance (reaffirmed)</w:t>
            </w:r>
          </w:p>
        </w:tc>
        <w:tc>
          <w:tcPr/>
          <w:p>
            <w:pPr>
              <w:pStyle w:val="Compact"/>
            </w:pPr>
            <w:r>
              <w:t xml:space="preserve">Adj. EPS</w:t>
            </w:r>
            <w:r>
              <w:t xml:space="preserve"> </w:t>
            </w:r>
            <m:oMath>
              <m:r>
                <m:t>7.90</m:t>
              </m:r>
              <m:r>
                <m:rPr>
                  <m:sty m:val="p"/>
                </m:rPr>
                <m:t>–</m:t>
              </m:r>
            </m:oMath>
            <w:r>
              <w:t xml:space="preserve">9.90; Adj. EBITDA</w:t>
            </w:r>
            <w:r>
              <w:t xml:space="preserve"> </w:t>
            </w:r>
            <m:oMath>
              <m:r>
                <m:t>5</m:t>
              </m:r>
              <m:r>
                <m:rPr>
                  <m:sty m:val="p"/>
                </m:rPr>
                <m:t>,</m:t>
              </m:r>
              <m:r>
                <m:t>325</m:t>
              </m:r>
              <m:r>
                <m:rPr>
                  <m:sty m:val="p"/>
                </m:rPr>
                <m:t>–</m:t>
              </m:r>
            </m:oMath>
            <w:r>
              <w:t xml:space="preserve">5,825M; FCFbG</w:t>
            </w:r>
            <w:r>
              <w:t xml:space="preserve"> </w:t>
            </w:r>
            <m:oMath>
              <m:r>
                <m:t>2</m:t>
              </m:r>
              <m:r>
                <m:rPr>
                  <m:sty m:val="p"/>
                </m:rPr>
                <m:t>,</m:t>
              </m:r>
              <m:r>
                <m:t>800</m:t>
              </m:r>
              <m:r>
                <m:rPr>
                  <m:sty m:val="p"/>
                </m:rPr>
                <m:t>–</m:t>
              </m:r>
            </m:oMath>
            <w:r>
              <w:t xml:space="preserve">3,300M</w:t>
            </w:r>
          </w:p>
        </w:tc>
      </w:tr>
      <w:tr>
        <w:tc>
          <w:tcPr/>
          <w:p>
            <w:pPr>
              <w:pStyle w:val="Compact"/>
            </w:pPr>
            <w:r>
              <w:t xml:space="preserve">Stock price (8/3/26 close)</w:t>
            </w:r>
          </w:p>
        </w:tc>
        <w:tc>
          <w:tcPr/>
          <w:p>
            <w:pPr>
              <w:pStyle w:val="Compact"/>
            </w:pPr>
            <w:r>
              <w:t xml:space="preserve">~$138.50</w:t>
            </w:r>
          </w:p>
        </w:tc>
      </w:tr>
      <w:tr>
        <w:tc>
          <w:tcPr/>
          <w:p>
            <w:pPr>
              <w:pStyle w:val="Compact"/>
            </w:pPr>
            <w:r>
              <w:t xml:space="preserve">52-week range</w:t>
            </w:r>
          </w:p>
        </w:tc>
        <w:tc>
          <w:tcPr/>
          <w:p>
            <w:pPr>
              <w:pStyle w:val="Compact"/>
            </w:pPr>
            <w:r>
              <w:t xml:space="preserve">$120.11 – $189.96</w:t>
            </w:r>
          </w:p>
        </w:tc>
      </w:tr>
      <w:tr>
        <w:tc>
          <w:tcPr/>
          <w:p>
            <w:pPr>
              <w:pStyle w:val="Compact"/>
            </w:pPr>
            <w:r>
              <w:t xml:space="preserve">YTD performance</w:t>
            </w:r>
          </w:p>
        </w:tc>
        <w:tc>
          <w:tcPr/>
          <w:p>
            <w:pPr>
              <w:pStyle w:val="Compact"/>
            </w:pPr>
            <w:r>
              <w:t xml:space="preserve">Down roughly 15-20%, badly lagging the S&amp;P 500 and utility peers</w:t>
            </w:r>
          </w:p>
        </w:tc>
      </w:tr>
    </w:tbl>
    <w:p>
      <w:pPr>
        <w:pStyle w:val="BodyText"/>
      </w:pPr>
      <w:r>
        <w:t xml:space="preserve">Sell-side estimates are notably scattered heading into the print — one tracker has consensus EPS at $1.83 (+8.9% y/y), another at $1.78 (flat-to-down y/y), and Zacks pegs it at $1.66 — which itself signals uncertainty about how weather, hedges, and the pace of LS Power integration flowed through the quarter. Ahead of the event, analysts anticipate NRG to report an EPS of $1.83, a rise of 8.9% from $1.68 in the year-ago quarter. It has exceeded Wall Street's bottom-line estimates in three of the past four quarters while missing on another occasion. For the full year, analysts predict the power producer to report EPS of $8.89, a growth of 10.2% from $8.07 in fiscal 2025, essentially in line with management's guidance midpoint.</w:t>
      </w:r>
    </w:p>
    <w:bookmarkEnd w:id="9"/>
    <w:bookmarkStart w:id="10" w:name="why-this-print-matters-more-than-usual"/>
    <w:p>
      <w:pPr>
        <w:pStyle w:val="Heading2"/>
      </w:pPr>
      <w:r>
        <w:t xml:space="preserve">Why this print matters more than usual</w:t>
      </w:r>
    </w:p>
    <w:p>
      <w:pPr>
        <w:pStyle w:val="FirstParagraph"/>
      </w:pPr>
      <w:r>
        <w:t xml:space="preserve">NRG's stock has had a rough 2026. Shares peaked near $184 in late February on AI/power-demand enthusiasm, then fell sharply after the Q1 report and have continued to slide, briefly touching a 52-week low. On June 10, 2026, NRG Energy hit a 52-week low of $120.11, extending a decline of more than 20% year-to-date and nearly 17% over the past year. Yet over 80% of covering analysts remain constructive on the stock, with a median price target of $200 — a roughly 40%+ gap to the current price that will be tested by tomorrow's results and commentary.</w:t>
      </w:r>
    </w:p>
    <w:p>
      <w:pPr>
        <w:pStyle w:val="BodyText"/>
      </w:pPr>
      <w:r>
        <w:t xml:space="preserve">Several overlapping narratives are driving the disconnect between analyst targets and the stock:</w:t>
      </w:r>
    </w:p>
    <w:p>
      <w:pPr>
        <w:pStyle w:val="Compact"/>
        <w:numPr>
          <w:ilvl w:val="0"/>
          <w:numId w:val="1001"/>
        </w:numPr>
      </w:pPr>
      <w:r>
        <w:rPr>
          <w:b/>
          <w:bCs/>
        </w:rPr>
        <w:t xml:space="preserve">Q1 earnings miss and leverage concerns.</w:t>
      </w:r>
      <w:r>
        <w:t xml:space="preserve"> </w:t>
      </w:r>
      <w:r>
        <w:t xml:space="preserve">NRG Energy is back in focus after weaker-than-expected quarterly profitability and a sharp 6.9% single-day share decline, as investors weigh leverage, cost control questions, and ongoing debt refinancing activity. The Q1 print showed adjusted EPS of $1.49 versus Street expectations near $1.78, driven largely by unusually mild Texas weather and storm-related supply costs in the East that hit right before the LS Power deal closed.</w:t>
      </w:r>
    </w:p>
    <w:p>
      <w:pPr>
        <w:pStyle w:val="Compact"/>
        <w:numPr>
          <w:ilvl w:val="0"/>
          <w:numId w:val="1001"/>
        </w:numPr>
      </w:pPr>
      <w:r>
        <w:rPr>
          <w:b/>
          <w:bCs/>
        </w:rPr>
        <w:t xml:space="preserve">Share overhang from the LS Power secondary offering.</w:t>
      </w:r>
      <w:r>
        <w:t xml:space="preserve"> </w:t>
      </w:r>
      <w:r>
        <w:t xml:space="preserve">In early March, LS Power affiliates sold a large block of stock. NRG Energy Announces Pricing of Upsized Secondary Common Stock Offering for an underwritten public offering of 14,300,000 shares of its common stock held by certain affiliates of LS Power at a price of $164.00 per share. That discounted print, plus lingering seller supply, continued to weigh on the stock into the spring — the move appears tied to renewed selling pressure and risk-off positioning around a large recent secondary stock sale by LS Power affiliates that was priced at a discount, which can act as an overhang on the shares.</w:t>
      </w:r>
    </w:p>
    <w:p>
      <w:pPr>
        <w:pStyle w:val="Compact"/>
        <w:numPr>
          <w:ilvl w:val="0"/>
          <w:numId w:val="1001"/>
        </w:numPr>
      </w:pPr>
      <w:r>
        <w:rPr>
          <w:b/>
          <w:bCs/>
        </w:rPr>
        <w:t xml:space="preserve">AI power-demand sentiment volatility.</w:t>
      </w:r>
      <w:r>
        <w:t xml:space="preserve"> </w:t>
      </w:r>
      <w:r>
        <w:t xml:space="preserve">Broader jitters about AI capex sustainability have periodically dragged down power/data-center-linked names, NRG included, even as fundamentals in ERCOT and PJM continue to point toward tighter long-term supply-demand balances.</w:t>
      </w:r>
    </w:p>
    <w:bookmarkEnd w:id="10"/>
    <w:bookmarkStart w:id="11" w:name="X77b2e06c30e7fee4435ee799141cc14f0a6184e"/>
    <w:p>
      <w:pPr>
        <w:pStyle w:val="Heading2"/>
      </w:pPr>
      <w:r>
        <w:t xml:space="preserve">What happened last quarter (Q1 2026) — the base case investors are underwriting</w:t>
      </w:r>
    </w:p>
    <w:p>
      <w:pPr>
        <w:pStyle w:val="Compact"/>
        <w:numPr>
          <w:ilvl w:val="0"/>
          <w:numId w:val="1002"/>
        </w:numPr>
      </w:pPr>
      <w:r>
        <w:rPr>
          <w:b/>
          <w:bCs/>
        </w:rPr>
        <w:t xml:space="preserve">Results:</w:t>
      </w:r>
      <w:r>
        <w:t xml:space="preserve"> </w:t>
      </w:r>
      <w:r>
        <w:t xml:space="preserve">Adjusted EBITDA of $1.08 billion (down $46 million y/y), Adjusted Net Income of $308 million, and Adjusted EPS of $1.49, versus $2.68 a year ago. GAAP net income fell to $125 million from $750 million, largely due to non-cash mark-to-market losses on economic hedges.</w:t>
      </w:r>
    </w:p>
    <w:p>
      <w:pPr>
        <w:pStyle w:val="Compact"/>
        <w:numPr>
          <w:ilvl w:val="0"/>
          <w:numId w:val="1002"/>
        </w:numPr>
      </w:pPr>
      <w:r>
        <w:rPr>
          <w:b/>
          <w:bCs/>
        </w:rPr>
        <w:t xml:space="preserve">Drivers of the softness:</w:t>
      </w:r>
      <w:r>
        <w:t xml:space="preserve"> </w:t>
      </w:r>
      <w:r>
        <w:t xml:space="preserve">Texas heating degree days were down ~30% y/y, Houston on-peak prices averaged $29/MWh (down ~13%), and the East segment absorbed higher power-supply costs from Winter Storm Fern — a storm that hit just before the LS Power acquisition closed on January 30, so NRG's newly acquired assets weren't part of the fleet to capture the upside.</w:t>
      </w:r>
    </w:p>
    <w:p>
      <w:pPr>
        <w:pStyle w:val="Compact"/>
        <w:numPr>
          <w:ilvl w:val="0"/>
          <w:numId w:val="1002"/>
        </w:numPr>
      </w:pPr>
      <w:r>
        <w:rPr>
          <w:b/>
          <w:bCs/>
        </w:rPr>
        <w:t xml:space="preserve">Guidance reaffirmed:</w:t>
      </w:r>
      <w:r>
        <w:t xml:space="preserve"> </w:t>
      </w:r>
      <w:r>
        <w:t xml:space="preserve">Management held FY26 guidance across Adjusted EBITDA, Adjusted Net Income, Adjusted EPS and FCFbG, arguing Q1 is seasonally the smallest quarter and that working-capital items would normalize over the year.</w:t>
      </w:r>
    </w:p>
    <w:p>
      <w:pPr>
        <w:pStyle w:val="Compact"/>
        <w:numPr>
          <w:ilvl w:val="0"/>
          <w:numId w:val="1002"/>
        </w:numPr>
      </w:pPr>
      <w:r>
        <w:rPr>
          <w:b/>
          <w:bCs/>
        </w:rPr>
        <w:t xml:space="preserve">Balance sheet actions:</w:t>
      </w:r>
      <w:r>
        <w:t xml:space="preserve"> </w:t>
      </w:r>
      <w:r>
        <w:t xml:space="preserve">NRG closed $3.5 billion of new financing on April 28 to refinance the $1.5 billion Lightning notes and pay down revolver borrowings, generating over $10 million of annual interest savings and advancing toward a 3x net leverage target.</w:t>
      </w:r>
    </w:p>
    <w:p>
      <w:pPr>
        <w:pStyle w:val="Compact"/>
        <w:numPr>
          <w:ilvl w:val="0"/>
          <w:numId w:val="1002"/>
        </w:numPr>
      </w:pPr>
      <w:r>
        <w:rPr>
          <w:b/>
          <w:bCs/>
        </w:rPr>
        <w:t xml:space="preserve">Leadership transition:</w:t>
      </w:r>
      <w:r>
        <w:t xml:space="preserve"> </w:t>
      </w:r>
      <w:r>
        <w:t xml:space="preserve">Robert Gaudette became President &amp; CEO effective April 30, succeeding Larry Coben (who remains an advisor through year-end), with Antonio Carrillo becoming Board Chair. Gaudette used his first call to stress capital discipline and reaffirmed that the "Base Plan" — 14%+ annual Adjusted EPS/FCF-per-share growth over five years — does not require any contribution from large-load deals or new development; those remain pure upside.</w:t>
      </w:r>
    </w:p>
    <w:bookmarkEnd w:id="11"/>
    <w:bookmarkStart w:id="12" w:name="X4da9e4df7cedfe6ddccd428ee8ade99584c5448"/>
    <w:p>
      <w:pPr>
        <w:pStyle w:val="Heading2"/>
      </w:pPr>
      <w:r>
        <w:t xml:space="preserve">Key things to watch in the Q2 print and call</w:t>
      </w:r>
    </w:p>
    <w:p>
      <w:pPr>
        <w:pStyle w:val="FirstParagraph"/>
      </w:pPr>
      <w:r>
        <w:rPr>
          <w:b/>
          <w:bCs/>
        </w:rPr>
        <w:t xml:space="preserve">1. Large Load / data center contracting progress.</w:t>
      </w:r>
      <w:r>
        <w:t xml:space="preserve"> </w:t>
      </w:r>
      <w:r>
        <w:t xml:space="preserve">On the Q1 call, management said discussions on large-load agreements were "active and progressing" but declined to give specifics, noting the pacing item is infrastructure (interconnections, gas supply) rather than economics, and that a deal needs to be signed in 2026 to hit a 2029 COD target. Investors will want to know whether any binding agreement — front-of-the-meter or behind-the-meter — has been signed since May, and whether the previously discussed</w:t>
      </w:r>
      <w:r>
        <w:t xml:space="preserve"> </w:t>
      </w:r>
      <m:oMath>
        <m:r>
          <m:t>90</m:t>
        </m:r>
        <m:r>
          <m:rPr>
            <m:sty m:val="p"/>
          </m:rPr>
          <m:t>–</m:t>
        </m:r>
      </m:oMath>
      <w:r>
        <w:t xml:space="preserve">95/MWh economics for a "normal" data center deal still hold given rising behind-the-meter deal pricing across the sector.</w:t>
      </w:r>
    </w:p>
    <w:p>
      <w:pPr>
        <w:pStyle w:val="BodyText"/>
      </w:pPr>
      <w:r>
        <w:rPr>
          <w:b/>
          <w:bCs/>
        </w:rPr>
        <w:t xml:space="preserve">2. PJM capacity auction read-through.</w:t>
      </w:r>
      <w:r>
        <w:t xml:space="preserve"> </w:t>
      </w:r>
      <w:r>
        <w:t xml:space="preserve">On July 14, 2026, PJM ran its Base Residual Auction for the 2028-2029 delivery year, and NRG's cleared position is a real positive data point for forward East-segment earnings. NRG Energy has put a number on its enlarged PJM footprint: 6,839 megawatts cleared for the grid operator's 2028–2029 delivery year at an average $325 per megawatt-day, with the rate was the regulator-set cap, implying the auction would have cleared meaningfully higher (reportedly near $555/MW-day) absent the price cap/floor mechanism. Expect analysts to press management on how much incremental EBITDA this locks in for 2028-29 and how it should be modeled against the current guidance framework.</w:t>
      </w:r>
    </w:p>
    <w:p>
      <w:pPr>
        <w:pStyle w:val="BodyText"/>
      </w:pPr>
      <w:r>
        <w:rPr>
          <w:b/>
          <w:bCs/>
        </w:rPr>
        <w:t xml:space="preserve">3. Texas Energy Fund (TEF) execution.</w:t>
      </w:r>
      <w:r>
        <w:t xml:space="preserve"> </w:t>
      </w:r>
      <w:r>
        <w:t xml:space="preserve">The 415 MW T.H. Wharton facility was targeted for commercial operations by the end of May 2026, on time and on budget, qualifying for the TEF completion bonus. Confirmation that Wharton is online and generating, plus updated timing on the 2028 COD targets for Cedar Bayou and Greens Bayou (rounding out the 1.5 GW TEF program), will be an important proof point that NRG can execute new gas builds on schedule — a competitive differentiator management has repeatedly emphasized.</w:t>
      </w:r>
    </w:p>
    <w:p>
      <w:pPr>
        <w:pStyle w:val="BodyText"/>
      </w:pPr>
      <w:r>
        <w:rPr>
          <w:b/>
          <w:bCs/>
        </w:rPr>
        <w:t xml:space="preserve">4. PJM uprate/conversion opportunity.</w:t>
      </w:r>
      <w:r>
        <w:t xml:space="preserve"> </w:t>
      </w:r>
      <w:r>
        <w:t xml:space="preserve">Management raised the disclosed uprate/conversion opportunity in the LS Power-inherited PJM fleet from ~1 GW to up to 2 GW. Watch for updates on how much of this is being pursued bilaterally versus through PJM's Reliability Backstop Procurement process, and whether new capital has been committed.</w:t>
      </w:r>
    </w:p>
    <w:p>
      <w:pPr>
        <w:pStyle w:val="BodyText"/>
      </w:pPr>
      <w:r>
        <w:rPr>
          <w:b/>
          <w:bCs/>
        </w:rPr>
        <w:t xml:space="preserve">5. Capital allocation and buybacks.</w:t>
      </w:r>
      <w:r>
        <w:t xml:space="preserve"> </w:t>
      </w:r>
      <w:r>
        <w:t xml:space="preserve">NRG entered the year targeting at least $1.4 billion of shareholder returns (roughly</w:t>
      </w:r>
      <w:r>
        <w:t xml:space="preserve"> </w:t>
      </w:r>
      <m:oMath>
        <m:r>
          <m:t>1.0</m:t>
        </m:r>
        <m:r>
          <m:t>b</m:t>
        </m:r>
        <m:r>
          <m:t>i</m:t>
        </m:r>
        <m:r>
          <m:t>l</m:t>
        </m:r>
        <m:r>
          <m:t>l</m:t>
        </m:r>
        <m:r>
          <m:t>i</m:t>
        </m:r>
        <m:r>
          <m:t>o</m:t>
        </m:r>
        <m:r>
          <m:t>n</m:t>
        </m:r>
        <m:r>
          <m:t>b</m:t>
        </m:r>
        <m:r>
          <m:t>u</m:t>
        </m:r>
        <m:r>
          <m:t>y</m:t>
        </m:r>
        <m:r>
          <m:t>b</m:t>
        </m:r>
        <m:r>
          <m:t>a</m:t>
        </m:r>
        <m:r>
          <m:t>c</m:t>
        </m:r>
        <m:r>
          <m:t>k</m:t>
        </m:r>
        <m:r>
          <m:t>s</m:t>
        </m:r>
        <m:r>
          <m:rPr>
            <m:sty m:val="p"/>
          </m:rPr>
          <m:t>,</m:t>
        </m:r>
        <m:r>
          <m:t> </m:t>
        </m:r>
      </m:oMath>
      <w:r>
        <w:t xml:space="preserve">407 million dividends). Through April 30 the company had already completed $817 million of repurchases (including the negotiated buyback of shares from LS Power), and management indicated it was leaning into buybacks opportunistically while the stock was depressed. Investors will want an updated tally and any signal on upsizing beyond the $1 billion buyback target given how far shares have fallen since guidance was set. The quarterly dividend remains</w:t>
      </w:r>
      <w:r>
        <w:t xml:space="preserve"> </w:t>
      </w:r>
      <m:oMath>
        <m:r>
          <m:t>0.475</m:t>
        </m:r>
        <m:r>
          <m:rPr>
            <m:sty m:val="p"/>
          </m:rPr>
          <m:t>/</m:t>
        </m:r>
        <m:r>
          <m:t>s</m:t>
        </m:r>
        <m:r>
          <m:t>h</m:t>
        </m:r>
        <m:r>
          <m:t>a</m:t>
        </m:r>
        <m:r>
          <m:t>r</m:t>
        </m:r>
        <m:r>
          <m:t>e</m:t>
        </m:r>
        <m:r>
          <m:rPr>
            <m:sty m:val="p"/>
          </m:rPr>
          <m:t>(</m:t>
        </m:r>
      </m:oMath>
      <w:r>
        <w:t xml:space="preserve">1.90 annualized).</w:t>
      </w:r>
    </w:p>
    <w:p>
      <w:pPr>
        <w:pStyle w:val="BodyText"/>
      </w:pPr>
      <w:r>
        <w:rPr>
          <w:b/>
          <w:bCs/>
        </w:rPr>
        <w:t xml:space="preserve">6. Weather and commodity swing factors for Q2.</w:t>
      </w:r>
      <w:r>
        <w:t xml:space="preserve"> </w:t>
      </w:r>
      <w:r>
        <w:t xml:space="preserve">Unlike Q1's unusually mild Texas winter, Q2 includes the start of the summer cooling season. ERCOT's own summer outlook has pointed to forward power prices trending lower than summer 2025, so watch commentary on realized Texas heat, on-peak pricing, and whether the newly integrated LS Power/East fleet is contributing positively without offsetting storm-related cost noise like Q1's Winter Storm Fern.</w:t>
      </w:r>
    </w:p>
    <w:p>
      <w:pPr>
        <w:pStyle w:val="BodyText"/>
      </w:pPr>
      <w:r>
        <w:rPr>
          <w:b/>
          <w:bCs/>
        </w:rPr>
        <w:t xml:space="preserve">7. Vivint Smart Home momentum.</w:t>
      </w:r>
      <w:r>
        <w:t xml:space="preserve"> </w:t>
      </w:r>
      <w:r>
        <w:t xml:space="preserve">This segment has been a quiet, steady performer — Q1 adjusted EBITDA rose to</w:t>
      </w:r>
      <w:r>
        <w:t xml:space="preserve"> </w:t>
      </w:r>
      <m:oMath>
        <m:r>
          <m:t>294</m:t>
        </m:r>
        <m:r>
          <m:t>m</m:t>
        </m:r>
        <m:r>
          <m:t>i</m:t>
        </m:r>
        <m:r>
          <m:t>l</m:t>
        </m:r>
        <m:r>
          <m:t>l</m:t>
        </m:r>
        <m:r>
          <m:t>i</m:t>
        </m:r>
        <m:r>
          <m:t>o</m:t>
        </m:r>
        <m:r>
          <m:t>n</m:t>
        </m:r>
        <m:r>
          <m:rPr>
            <m:sty m:val="p"/>
          </m:rPr>
          <m:t>(</m:t>
        </m:r>
        <m:r>
          <m:rPr>
            <m:sty m:val="p"/>
          </m:rPr>
          <m:t>+</m:t>
        </m:r>
      </m:oMath>
      <w:r>
        <w:t xml:space="preserve">14 million y/y) with the customer base reaching ~2.37 million, up 9% y/y and running ahead of the 5-6% long-term growth algorithm. Continued outperformance here provides ballast against volatility in the generation/retail segments.</w:t>
      </w:r>
    </w:p>
    <w:p>
      <w:pPr>
        <w:pStyle w:val="BodyText"/>
      </w:pPr>
      <w:r>
        <w:rPr>
          <w:b/>
          <w:bCs/>
        </w:rPr>
        <w:t xml:space="preserve">8. Leverage trajectory and credit metrics.</w:t>
      </w:r>
      <w:r>
        <w:t xml:space="preserve"> </w:t>
      </w:r>
      <w:r>
        <w:t xml:space="preserve">With total debt materially higher post-LS Power ($23.2 billion of long-term debt plus current portion as of March 31), and interest expense up sharply y/y, the market wants to see visible progress toward the 3x net leverage target and eventual removal of acquisition-related ring-fencing, which management flagged as a benefit of the April refinancing.</w:t>
      </w:r>
    </w:p>
    <w:bookmarkEnd w:id="12"/>
    <w:bookmarkStart w:id="13" w:name="analyst-positioning-into-the-print"/>
    <w:p>
      <w:pPr>
        <w:pStyle w:val="Heading2"/>
      </w:pPr>
      <w:r>
        <w:t xml:space="preserve">Analyst positioning into the print</w:t>
      </w:r>
    </w:p>
    <w:p>
      <w:pPr>
        <w:pStyle w:val="FirstParagraph"/>
      </w:pPr>
      <w:r>
        <w:t xml:space="preserve">Sentiment among sell-side analysts has stayed broadly constructive even as the stock has sold off, though price targets have been trimmed at the margin. On April 27, Raymond James trimmed its price target on NRG Energy from $220 to $210, but maintained a 'Strong Buy' rating on the shares. CFRA Research lifted its rating on NRG Energy to Buy from Hold, while Raymond James trimmed its price target around the same period, reflecting a split between valuation-based upgrades and estimate-driven target cuts. Current consensus/median targets still cluster near</w:t>
      </w:r>
      <w:r>
        <w:t xml:space="preserve"> </w:t>
      </w:r>
      <m:oMath>
        <m:r>
          <m:t>190</m:t>
        </m:r>
        <m:r>
          <m:rPr>
            <m:sty m:val="p"/>
          </m:rPr>
          <m:t>–</m:t>
        </m:r>
      </m:oMath>
      <w:r>
        <w:t xml:space="preserve">200, implying analysts see the sell-off as more sentiment- and overhang-driven than a fundamental re-rating of the long-term growth story.</w:t>
      </w:r>
    </w:p>
    <w:bookmarkEnd w:id="13"/>
    <w:bookmarkStart w:id="14" w:name="bottom-line"/>
    <w:p>
      <w:pPr>
        <w:pStyle w:val="Heading2"/>
      </w:pPr>
      <w:r>
        <w:t xml:space="preserve">Bottom line</w:t>
      </w:r>
    </w:p>
    <w:p>
      <w:pPr>
        <w:pStyle w:val="FirstParagraph"/>
      </w:pPr>
      <w:r>
        <w:t xml:space="preserve">NRG heads into Q2 earnings with reaffirmed full-year guidance, a new CEO emphasizing capital discipline, a favorable PJM capacity auction outcome banked for 2028-29, on-schedule Texas Energy Fund construction, and a Vivint Smart Home business quietly compounding — but with a stock price that has round-tripped most of its 2025-early 2026 AI-power-demand gains on the back of a Q1 miss, secondary-offering overhang, and broader skepticism about the timing of large-load/data-center monetization. The key swing factors for tomorrow's reaction will be: (1) whether Q2 results and underlying trends support the reaffirmed full-year ranges, (2) any concrete update on large-load contracting, and (3) reassurance on leverage and buyback pace. A "clean" quarter with even modest large-load progress could go a long way toward closing the wide gap between the current share price and Street price targets; another miss or delay on hyperscaler contracting risks reinforcing the recent bearish narrative.</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2026-08-04T01:02:57Z</dcterms:created>
  <dcterms:modified xsi:type="dcterms:W3CDTF">2026-08-04T01:02:57Z</dcterms:modified>
</cp:coreProperties>
</file>

<file path=docProps/custom.xml><?xml version="1.0" encoding="utf-8"?>
<Properties xmlns="http://schemas.openxmlformats.org/officeDocument/2006/custom-properties" xmlns:vt="http://schemas.openxmlformats.org/officeDocument/2006/docPropsVTypes"/>
</file>