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rg-earnings-predictions--2026-08-04"/>
    <w:p>
      <w:pPr>
        <w:pStyle w:val="Heading1"/>
      </w:pPr>
      <w:r>
        <w:t xml:space="preserve">NRG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~$1.30B vs. cons $1.27B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 vs. cons $1.83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before growth investments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~$0.72B vs. cons $0.68B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~$5.575B vs. cons $5.549B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~$8.90 vs. cons $8.85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before growth investments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~$3.05B vs. cons $3.05B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(FADE)</w:t>
            </w:r>
          </w:p>
        </w:tc>
        <w:tc>
          <w:tcPr/>
          <w:p>
            <w:pPr>
              <w:pStyle w:val="Compact"/>
            </w:pPr>
            <w:r>
              <w:t xml:space="preserve">A modest operating and cash-flow beat should initially reward the reset valuation, but unchanged FY2026 guidance implies limited upward revision to $5.55B EBITDA and $8.85 EPS consensus; stronger Q2 results mainly reduce the implied second-half requirement rather than raise out-period estimates.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2026-08-04T00:58:20Z</dcterms:created>
  <dcterms:modified xsi:type="dcterms:W3CDTF">2026-08-04T00:58:20Z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