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nrg-energy-2026q2-earnings-preview"/>
    <w:p>
      <w:pPr>
        <w:pStyle w:val="Heading1"/>
      </w:pPr>
      <w:r>
        <w:t xml:space="preserve">NRG Energy 2026Q2 Earnings Preview</w:t>
      </w:r>
    </w:p>
    <w:p>
      <w:pPr>
        <w:pStyle w:val="BlockText"/>
      </w:pPr>
      <w:r>
        <w:rPr>
          <w:b/>
          <w:bCs/>
        </w:rPr>
        <w:t xml:space="preserve">Timing note:</w:t>
      </w:r>
      <w:r>
        <w:t xml:space="preserve"> </w:t>
      </w:r>
      <w:r>
        <w:t xml:space="preserve">The supplied event date is</w:t>
      </w:r>
      <w:r>
        <w:t xml:space="preserve"> </w:t>
      </w:r>
      <w:r>
        <w:rPr>
          <w:b/>
          <w:bCs/>
        </w:rPr>
        <w:t xml:space="preserve">August 4, 2026</w:t>
      </w:r>
      <w:r>
        <w:t xml:space="preserve">, which is today rather than tomorrow. This preview treats the Q2 report and call as imminent.</w:t>
      </w:r>
    </w:p>
    <w:bookmarkStart w:id="9" w:name="executive-view"/>
    <w:p>
      <w:pPr>
        <w:pStyle w:val="Heading2"/>
      </w:pPr>
      <w:r>
        <w:t xml:space="preserve">Executive view</w:t>
      </w:r>
    </w:p>
    <w:p>
      <w:pPr>
        <w:pStyle w:val="FirstParagraph"/>
      </w:pPr>
      <w:r>
        <w:t xml:space="preserve">NRG enters the quarter with investors focused less on headline GAAP earnings—which can be distorted by commodity-hedge mark-to-market movements—and more on four questions:</w:t>
      </w:r>
    </w:p>
    <w:p>
      <w:pPr>
        <w:pStyle w:val="Compact"/>
        <w:numPr>
          <w:ilvl w:val="0"/>
          <w:numId w:val="1001"/>
        </w:numPr>
      </w:pPr>
      <w:r>
        <w:rPr>
          <w:b/>
          <w:bCs/>
        </w:rPr>
        <w:t xml:space="preserve">Can management reaffirm or improve its 2026 guidance after a soft first quarter?</w:t>
      </w:r>
    </w:p>
    <w:p>
      <w:pPr>
        <w:pStyle w:val="Compact"/>
        <w:numPr>
          <w:ilvl w:val="0"/>
          <w:numId w:val="1001"/>
        </w:numPr>
      </w:pPr>
      <w:r>
        <w:rPr>
          <w:b/>
          <w:bCs/>
        </w:rPr>
        <w:t xml:space="preserve">Is the LS Power portfolio delivering the earnings, operational benefits, and risk reduction promised?</w:t>
      </w:r>
    </w:p>
    <w:p>
      <w:pPr>
        <w:pStyle w:val="Compact"/>
        <w:numPr>
          <w:ilvl w:val="0"/>
          <w:numId w:val="1001"/>
        </w:numPr>
      </w:pPr>
      <w:r>
        <w:rPr>
          <w:b/>
          <w:bCs/>
        </w:rPr>
        <w:t xml:space="preserve">Will NRG convert its large-load and data-center discussions into a contracted project during 2026?</w:t>
      </w:r>
    </w:p>
    <w:p>
      <w:pPr>
        <w:pStyle w:val="Compact"/>
        <w:numPr>
          <w:ilvl w:val="0"/>
          <w:numId w:val="1001"/>
        </w:numPr>
      </w:pPr>
      <w:r>
        <w:rPr>
          <w:b/>
          <w:bCs/>
        </w:rPr>
        <w:t xml:space="preserve">How much future value should investors assign to the recent PJM capacity-auction result?</w:t>
      </w:r>
    </w:p>
    <w:p>
      <w:pPr>
        <w:pStyle w:val="FirstParagraph"/>
      </w:pPr>
      <w:r>
        <w:t xml:space="preserve">The stock was recently around</w:t>
      </w:r>
      <w:r>
        <w:t xml:space="preserve"> </w:t>
      </w:r>
      <w:r>
        <w:rPr>
          <w:b/>
          <w:bCs/>
        </w:rPr>
        <w:t xml:space="preserve">$138</w:t>
      </w:r>
      <w:r>
        <w:t xml:space="preserve">, down approximately</w:t>
      </w:r>
      <w:r>
        <w:t xml:space="preserve"> </w:t>
      </w:r>
      <w:r>
        <w:rPr>
          <w:b/>
          <w:bCs/>
        </w:rPr>
        <w:t xml:space="preserve">17% from the beginning of 2026</w:t>
      </w:r>
      <w:r>
        <w:t xml:space="preserve"> </w:t>
      </w:r>
      <w:r>
        <w:t xml:space="preserve">and roughly</w:t>
      </w:r>
      <w:r>
        <w:t xml:space="preserve"> </w:t>
      </w:r>
      <w:r>
        <w:rPr>
          <w:b/>
          <w:bCs/>
        </w:rPr>
        <w:t xml:space="preserve">25% from its February high</w:t>
      </w:r>
      <w:r>
        <w:t xml:space="preserve">. That suggests expectations have reset, but the shares still need evidence that NRG can produce the substantial second-half earnings and cash flow embedded in guidance.</w:t>
      </w:r>
    </w:p>
    <w:bookmarkEnd w:id="9"/>
    <w:bookmarkStart w:id="11" w:name="the-financial-bar"/>
    <w:p>
      <w:pPr>
        <w:pStyle w:val="Heading2"/>
      </w:pPr>
      <w:r>
        <w:t xml:space="preserve">The financial bar</w:t>
      </w:r>
    </w:p>
    <w:p>
      <w:pPr>
        <w:pStyle w:val="FirstParagraph"/>
      </w:pPr>
      <w:r>
        <w:t xml:space="preserve">NRG reaffirmed the following full-year outlook in May: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metric</w:t>
            </w:r>
          </w:p>
        </w:tc>
        <w:tc>
          <w:tcPr/>
          <w:p>
            <w:pPr>
              <w:pStyle w:val="Compact"/>
              <w:jc w:val="right"/>
            </w:pPr>
            <w:r>
              <w:t xml:space="preserve">Guidance</w:t>
            </w:r>
          </w:p>
        </w:tc>
      </w:tr>
      <w:tr>
        <w:tc>
          <w:tcPr/>
          <w:p>
            <w:pPr>
              <w:pStyle w:val="Compact"/>
            </w:pPr>
            <w:r>
              <w:t xml:space="preserve">Adjusted EBITDA</w:t>
            </w:r>
          </w:p>
        </w:tc>
        <w:tc>
          <w:tcPr/>
          <w:p>
            <w:pPr>
              <w:pStyle w:val="Compact"/>
              <w:jc w:val="right"/>
            </w:pPr>
            <m:oMath>
              <m:r>
                <m:t>5.325</m:t>
              </m:r>
              <m:r>
                <m:t>B</m:t>
              </m:r>
              <m:r>
                <m:rPr>
                  <m:sty m:val="p"/>
                </m:rPr>
                <m:t>–</m:t>
              </m:r>
            </m:oMath>
            <w:r>
              <w:rPr>
                <w:b/>
                <w:bCs/>
              </w:rPr>
              <w:t xml:space="preserve">5.825B</w:t>
            </w:r>
          </w:p>
        </w:tc>
      </w:tr>
      <w:tr>
        <w:tc>
          <w:tcPr/>
          <w:p>
            <w:pPr>
              <w:pStyle w:val="Compact"/>
            </w:pPr>
            <w:r>
              <w:t xml:space="preserve">Adjusted net income</w:t>
            </w:r>
          </w:p>
        </w:tc>
        <w:tc>
          <w:tcPr/>
          <w:p>
            <w:pPr>
              <w:pStyle w:val="Compact"/>
              <w:jc w:val="right"/>
            </w:pPr>
            <m:oMath>
              <m:r>
                <m:t>1.685</m:t>
              </m:r>
              <m:r>
                <m:t>B</m:t>
              </m:r>
              <m:r>
                <m:rPr>
                  <m:sty m:val="p"/>
                </m:rPr>
                <m:t>–</m:t>
              </m:r>
            </m:oMath>
            <w:r>
              <w:rPr>
                <w:b/>
                <w:bCs/>
              </w:rPr>
              <w:t xml:space="preserve">2.115B</w:t>
            </w:r>
          </w:p>
        </w:tc>
      </w:tr>
      <w:tr>
        <w:tc>
          <w:tcPr/>
          <w:p>
            <w:pPr>
              <w:pStyle w:val="Compact"/>
            </w:pPr>
            <w:r>
              <w:t xml:space="preserve">Adjusted EPS</w:t>
            </w:r>
          </w:p>
        </w:tc>
        <w:tc>
          <w:tcPr/>
          <w:p>
            <w:pPr>
              <w:pStyle w:val="Compact"/>
              <w:jc w:val="right"/>
            </w:pPr>
            <m:oMath>
              <m:r>
                <m:t>7.90</m:t>
              </m:r>
              <m:r>
                <m:rPr>
                  <m:sty m:val="p"/>
                </m:rPr>
                <m:t>–</m:t>
              </m:r>
            </m:oMath>
            <w:r>
              <w:rPr>
                <w:b/>
                <w:bCs/>
              </w:rPr>
              <w:t xml:space="preserve">9.90</w:t>
            </w:r>
          </w:p>
        </w:tc>
      </w:tr>
      <w:tr>
        <w:tc>
          <w:tcPr/>
          <w:p>
            <w:pPr>
              <w:pStyle w:val="Compact"/>
            </w:pPr>
            <w:r>
              <w:t xml:space="preserve">Free cash flow before growth investments</w:t>
            </w:r>
          </w:p>
        </w:tc>
        <w:tc>
          <w:tcPr/>
          <w:p>
            <w:pPr>
              <w:pStyle w:val="Compact"/>
              <w:jc w:val="right"/>
            </w:pPr>
            <m:oMath>
              <m:r>
                <m:t>2.8</m:t>
              </m:r>
              <m:r>
                <m:t>B</m:t>
              </m:r>
              <m:r>
                <m:rPr>
                  <m:sty m:val="p"/>
                </m:rPr>
                <m:t>–</m:t>
              </m:r>
            </m:oMath>
            <w:r>
              <w:rPr>
                <w:b/>
                <w:bCs/>
              </w:rPr>
              <w:t xml:space="preserve">3.3B</w:t>
            </w:r>
          </w:p>
        </w:tc>
      </w:tr>
    </w:tbl>
    <w:p>
      <w:pPr>
        <w:pStyle w:val="BodyText"/>
      </w:pPr>
      <w:r>
        <w:t xml:space="preserve">First-quarter results were: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Q1 2026 metric</w:t>
            </w:r>
          </w:p>
        </w:tc>
        <w:tc>
          <w:tcPr/>
          <w:p>
            <w:pPr>
              <w:pStyle w:val="Compact"/>
              <w:jc w:val="right"/>
            </w:pPr>
            <w:r>
              <w:t xml:space="preserve">Result</w:t>
            </w:r>
          </w:p>
        </w:tc>
      </w:tr>
      <w:tr>
        <w:tc>
          <w:tcPr/>
          <w:p>
            <w:pPr>
              <w:pStyle w:val="Compact"/>
            </w:pPr>
            <w:r>
              <w:t xml:space="preserve">Adjusted EBITDA</w:t>
            </w:r>
          </w:p>
        </w:tc>
        <w:tc>
          <w:tcPr/>
          <w:p>
            <w:pPr>
              <w:pStyle w:val="Compact"/>
              <w:jc w:val="right"/>
            </w:pPr>
            <w:r>
              <w:rPr>
                <w:b/>
                <w:bCs/>
              </w:rPr>
              <w:t xml:space="preserve">$1.080B</w:t>
            </w:r>
          </w:p>
        </w:tc>
      </w:tr>
      <w:tr>
        <w:tc>
          <w:tcPr/>
          <w:p>
            <w:pPr>
              <w:pStyle w:val="Compact"/>
            </w:pPr>
            <w:r>
              <w:t xml:space="preserve">Adjusted net income</w:t>
            </w:r>
          </w:p>
        </w:tc>
        <w:tc>
          <w:tcPr/>
          <w:p>
            <w:pPr>
              <w:pStyle w:val="Compact"/>
              <w:jc w:val="right"/>
            </w:pPr>
            <w:r>
              <w:rPr>
                <w:b/>
                <w:bCs/>
              </w:rPr>
              <w:t xml:space="preserve">$308M</w:t>
            </w:r>
          </w:p>
        </w:tc>
      </w:tr>
      <w:tr>
        <w:tc>
          <w:tcPr/>
          <w:p>
            <w:pPr>
              <w:pStyle w:val="Compact"/>
            </w:pPr>
            <w:r>
              <w:t xml:space="preserve">Adjusted EPS</w:t>
            </w:r>
          </w:p>
        </w:tc>
        <w:tc>
          <w:tcPr/>
          <w:p>
            <w:pPr>
              <w:pStyle w:val="Compact"/>
              <w:jc w:val="right"/>
            </w:pPr>
            <w:r>
              <w:rPr>
                <w:b/>
                <w:bCs/>
              </w:rPr>
              <w:t xml:space="preserve">$1.49</w:t>
            </w:r>
          </w:p>
        </w:tc>
      </w:tr>
      <w:tr>
        <w:tc>
          <w:tcPr/>
          <w:p>
            <w:pPr>
              <w:pStyle w:val="Compact"/>
            </w:pPr>
            <w:r>
              <w:t xml:space="preserve">FCF before growth investments</w:t>
            </w:r>
          </w:p>
        </w:tc>
        <w:tc>
          <w:tcPr/>
          <w:p>
            <w:pPr>
              <w:pStyle w:val="Compact"/>
              <w:jc w:val="right"/>
            </w:pPr>
            <w:r>
              <w:rPr>
                <w:b/>
                <w:bCs/>
              </w:rPr>
              <w:t xml:space="preserve">$(66)M</w:t>
            </w:r>
          </w:p>
        </w:tc>
      </w:tr>
    </w:tbl>
    <w:p>
      <w:pPr>
        <w:pStyle w:val="BodyText"/>
      </w:pPr>
      <w:r>
        <w:t xml:space="preserve">At the midpoint of annual guidance, NRG needs approximately:</w:t>
      </w:r>
    </w:p>
    <w:p>
      <w:pPr>
        <w:pStyle w:val="Compact"/>
        <w:numPr>
          <w:ilvl w:val="0"/>
          <w:numId w:val="1002"/>
        </w:numPr>
      </w:pPr>
      <m:oMath>
        <m:r>
          <m:t>4.50</m:t>
        </m:r>
        <m:r>
          <m:t>b</m:t>
        </m:r>
        <m:r>
          <m:t>i</m:t>
        </m:r>
        <m:r>
          <m:t>l</m:t>
        </m:r>
        <m:r>
          <m:t>l</m:t>
        </m:r>
        <m:r>
          <m:t>i</m:t>
        </m:r>
        <m:r>
          <m:t>o</m:t>
        </m:r>
        <m:r>
          <m:t>n</m:t>
        </m:r>
        <m:r>
          <m:t>o</m:t>
        </m:r>
        <m:r>
          <m:t>f</m:t>
        </m:r>
        <m:r>
          <m:t>a</m:t>
        </m:r>
        <m:r>
          <m:t>d</m:t>
        </m:r>
        <m:r>
          <m:t>j</m:t>
        </m:r>
        <m:r>
          <m:t>u</m:t>
        </m:r>
        <m:r>
          <m:t>s</m:t>
        </m:r>
        <m:r>
          <m:t>t</m:t>
        </m:r>
        <m:r>
          <m:t>e</m:t>
        </m:r>
        <m:r>
          <m:t>d</m:t>
        </m:r>
        <m:r>
          <m:t>E</m:t>
        </m:r>
        <m:r>
          <m:t>B</m:t>
        </m:r>
        <m:r>
          <m:t>I</m:t>
        </m:r>
        <m:r>
          <m:t>T</m:t>
        </m:r>
        <m:r>
          <m:t>D</m:t>
        </m:r>
        <m:r>
          <m:t>A</m:t>
        </m:r>
        <m:r>
          <m:rPr>
            <m:sty m:val="p"/>
          </m:rPr>
          <m:t>*</m:t>
        </m:r>
        <m:r>
          <m:rPr>
            <m:sty m:val="p"/>
          </m:rPr>
          <m:t>*</m:t>
        </m:r>
        <m:r>
          <m:t>o</m:t>
        </m:r>
        <m:r>
          <m:t>v</m:t>
        </m:r>
        <m:r>
          <m:t>e</m:t>
        </m:r>
        <m:r>
          <m:t>r</m:t>
        </m:r>
        <m:r>
          <m:t>Q</m:t>
        </m:r>
        <m:r>
          <m:t>2</m:t>
        </m:r>
        <m:r>
          <m:rPr>
            <m:sty m:val="p"/>
          </m:rPr>
          <m:t>–</m:t>
        </m:r>
        <m:r>
          <m:t>Q</m:t>
        </m:r>
        <m:r>
          <m:t>4</m:t>
        </m:r>
        <m:r>
          <m:rPr>
            <m:sty m:val="p"/>
          </m:rPr>
          <m:t>,</m:t>
        </m:r>
        <m:r>
          <m:t>o</m:t>
        </m:r>
        <m:r>
          <m:t>r</m:t>
        </m:r>
        <m:r>
          <m:t>a</m:t>
        </m:r>
        <m:r>
          <m:t>l</m:t>
        </m:r>
        <m:r>
          <m:t>m</m:t>
        </m:r>
        <m:r>
          <m:t>o</m:t>
        </m:r>
        <m:r>
          <m:t>s</m:t>
        </m:r>
        <m:r>
          <m:t>t</m:t>
        </m:r>
        <m:r>
          <m:rPr>
            <m:sty m:val="p"/>
          </m:rPr>
          <m:t>*</m:t>
        </m:r>
        <m:r>
          <m:rPr>
            <m:sty m:val="p"/>
          </m:rPr>
          <m:t>*</m:t>
        </m:r>
      </m:oMath>
      <w:r>
        <w:rPr>
          <w:b/>
          <w:bCs/>
        </w:rPr>
        <w:t xml:space="preserve">1.50 billion per quarter on average</w:t>
      </w:r>
      <w:r>
        <w:t xml:space="preserve">.</w:t>
      </w:r>
    </w:p>
    <w:p>
      <w:pPr>
        <w:pStyle w:val="Compact"/>
        <w:numPr>
          <w:ilvl w:val="0"/>
          <w:numId w:val="1002"/>
        </w:numPr>
      </w:pPr>
      <w:r>
        <w:rPr>
          <w:b/>
          <w:bCs/>
        </w:rPr>
        <w:t xml:space="preserve">$7.41 of additional adjusted EPS</w:t>
      </w:r>
      <w:r>
        <w:t xml:space="preserve"> </w:t>
      </w:r>
      <w:r>
        <w:t xml:space="preserve">after Q1.</w:t>
      </w:r>
    </w:p>
    <w:p>
      <w:pPr>
        <w:pStyle w:val="Compact"/>
        <w:numPr>
          <w:ilvl w:val="0"/>
          <w:numId w:val="1002"/>
        </w:numPr>
      </w:pPr>
      <w:r>
        <w:rPr>
          <w:b/>
          <w:bCs/>
        </w:rPr>
        <w:t xml:space="preserve">$3.12 billion of FCF before growth investments</w:t>
      </w:r>
      <w:r>
        <w:t xml:space="preserve"> </w:t>
      </w:r>
      <w:r>
        <w:t xml:space="preserve">after the first-quarter outflow.</w:t>
      </w:r>
    </w:p>
    <w:p>
      <w:pPr>
        <w:pStyle w:val="FirstParagraph"/>
      </w:pPr>
      <w:r>
        <w:t xml:space="preserve">Management has emphasized that the business is weighted toward the final three quarters and that first-quarter working-capital pressure should reverse. Even so, the remaining hurdle is meaningful. Investors should therefore pay close attention to whether guidance is merely reiterated or supported with a convincing bridge through year-end.</w:t>
      </w:r>
    </w:p>
    <w:bookmarkStart w:id="10" w:name="what-would-constitute-a-good-report"/>
    <w:p>
      <w:pPr>
        <w:pStyle w:val="Heading3"/>
      </w:pPr>
      <w:r>
        <w:t xml:space="preserve">What would constitute a good report?</w:t>
      </w:r>
    </w:p>
    <w:p>
      <w:pPr>
        <w:pStyle w:val="FirstParagraph"/>
      </w:pPr>
      <w:r>
        <w:t xml:space="preserve">A constructive result would include:</w:t>
      </w:r>
    </w:p>
    <w:p>
      <w:pPr>
        <w:pStyle w:val="Compact"/>
        <w:numPr>
          <w:ilvl w:val="0"/>
          <w:numId w:val="1003"/>
        </w:numPr>
      </w:pPr>
      <w:r>
        <w:t xml:space="preserve">Guidance reaffirmed with management sounding comfortable around—or above—the midpoint.</w:t>
      </w:r>
    </w:p>
    <w:p>
      <w:pPr>
        <w:pStyle w:val="Compact"/>
        <w:numPr>
          <w:ilvl w:val="0"/>
          <w:numId w:val="1003"/>
        </w:numPr>
      </w:pPr>
      <w:r>
        <w:t xml:space="preserve">Clear sequential improvement in adjusted EBITDA.</w:t>
      </w:r>
    </w:p>
    <w:p>
      <w:pPr>
        <w:pStyle w:val="Compact"/>
        <w:numPr>
          <w:ilvl w:val="0"/>
          <w:numId w:val="1003"/>
        </w:numPr>
      </w:pPr>
      <w:r>
        <w:t xml:space="preserve">Strong cash conversion or a detailed explanation of the expected second-half working-capital unwind.</w:t>
      </w:r>
    </w:p>
    <w:p>
      <w:pPr>
        <w:pStyle w:val="Compact"/>
        <w:numPr>
          <w:ilvl w:val="0"/>
          <w:numId w:val="1003"/>
        </w:numPr>
      </w:pPr>
      <w:r>
        <w:t xml:space="preserve">No material erosion in retail margins, customer quality, or fleet availability.</w:t>
      </w:r>
    </w:p>
    <w:p>
      <w:pPr>
        <w:pStyle w:val="Compact"/>
        <w:numPr>
          <w:ilvl w:val="0"/>
          <w:numId w:val="1003"/>
        </w:numPr>
      </w:pPr>
      <w:r>
        <w:t xml:space="preserve">Positive evidence from the first full quarter of LS Power ownership.</w:t>
      </w:r>
    </w:p>
    <w:p>
      <w:pPr>
        <w:pStyle w:val="Compact"/>
        <w:numPr>
          <w:ilvl w:val="0"/>
          <w:numId w:val="1003"/>
        </w:numPr>
      </w:pPr>
      <w:r>
        <w:t xml:space="preserve">Confirmation that capital allocation and deleveraging remain on schedule.</w:t>
      </w:r>
    </w:p>
    <w:p>
      <w:pPr>
        <w:pStyle w:val="FirstParagraph"/>
      </w:pPr>
      <w:r>
        <w:t xml:space="preserve">A simple reaffirmation accompanied by more cautious language could be received as underwhelming.</w:t>
      </w:r>
    </w:p>
    <w:p>
      <w:r>
        <w:pict>
          <v:rect style="width:0;height:1.5pt" o:hralign="center" o:hrstd="t" o:hr="t"/>
        </w:pict>
      </w:r>
    </w:p>
    <w:bookmarkEnd w:id="10"/>
    <w:bookmarkEnd w:id="11"/>
    <w:bookmarkStart w:id="13" w:name="Xb1fa790e2963a79ae60c05321f3c2cfc6bac4a7"/>
    <w:p>
      <w:pPr>
        <w:pStyle w:val="Heading2"/>
      </w:pPr>
      <w:r>
        <w:t xml:space="preserve">1. LS Power: the most important operating test</w:t>
      </w:r>
    </w:p>
    <w:p>
      <w:pPr>
        <w:pStyle w:val="FirstParagraph"/>
      </w:pPr>
      <w:r>
        <w:t xml:space="preserve">NRG closed the LS Power transaction on</w:t>
      </w:r>
      <w:r>
        <w:t xml:space="preserve"> </w:t>
      </w:r>
      <w:r>
        <w:rPr>
          <w:b/>
          <w:bCs/>
        </w:rPr>
        <w:t xml:space="preserve">January 30, 2026</w:t>
      </w:r>
      <w:r>
        <w:t xml:space="preserve">, adding approximately</w:t>
      </w:r>
      <w:r>
        <w:t xml:space="preserve"> </w:t>
      </w:r>
      <w:r>
        <w:rPr>
          <w:b/>
          <w:bCs/>
        </w:rPr>
        <w:t xml:space="preserve">13 GW</w:t>
      </w:r>
      <w:r>
        <w:t xml:space="preserve"> </w:t>
      </w:r>
      <w:r>
        <w:t xml:space="preserve">of generation and the CPower demand-response platform. Q1 contained only about two months of ownership; Q2 should provide the first clean, full-quarter indication of the acquired portfolio’s contribution.</w:t>
      </w:r>
    </w:p>
    <w:p>
      <w:pPr>
        <w:pStyle w:val="BodyText"/>
      </w:pPr>
      <w:r>
        <w:t xml:space="preserve">Key questions include:</w:t>
      </w:r>
    </w:p>
    <w:p>
      <w:pPr>
        <w:pStyle w:val="Compact"/>
        <w:numPr>
          <w:ilvl w:val="0"/>
          <w:numId w:val="1004"/>
        </w:numPr>
      </w:pPr>
      <w:r>
        <w:t xml:space="preserve">Are the plants meeting NRG’s availability and earnings assumptions?</w:t>
      </w:r>
    </w:p>
    <w:p>
      <w:pPr>
        <w:pStyle w:val="Compact"/>
        <w:numPr>
          <w:ilvl w:val="0"/>
          <w:numId w:val="1004"/>
        </w:numPr>
      </w:pPr>
      <w:r>
        <w:t xml:space="preserve">Is integration still “ahead of plan,” as management previously indicated?</w:t>
      </w:r>
    </w:p>
    <w:p>
      <w:pPr>
        <w:pStyle w:val="Compact"/>
        <w:numPr>
          <w:ilvl w:val="0"/>
          <w:numId w:val="1004"/>
        </w:numPr>
      </w:pPr>
      <w:r>
        <w:t xml:space="preserve">Has NRG identified additional commercial, hedging, procurement, or operating synergies?</w:t>
      </w:r>
    </w:p>
    <w:p>
      <w:pPr>
        <w:pStyle w:val="Compact"/>
        <w:numPr>
          <w:ilvl w:val="0"/>
          <w:numId w:val="1004"/>
        </w:numPr>
      </w:pPr>
      <w:r>
        <w:t xml:space="preserve">Is the expanded East generation fleet reducing the volatility of NRG’s retail supply costs?</w:t>
      </w:r>
    </w:p>
    <w:p>
      <w:pPr>
        <w:pStyle w:val="Compact"/>
        <w:numPr>
          <w:ilvl w:val="0"/>
          <w:numId w:val="1004"/>
        </w:numPr>
      </w:pPr>
      <w:r>
        <w:t xml:space="preserve">Are integration expenses and maintenance requirements tracking within budget?</w:t>
      </w:r>
    </w:p>
    <w:p>
      <w:pPr>
        <w:pStyle w:val="FirstParagraph"/>
      </w:pPr>
      <w:r>
        <w:t xml:space="preserve">The acquisition significantly increased depreciation, interest expense, leverage, and commodity-risk exposure. Therefore, investors need to see more than incremental EBITDA: the portfolio should also improve the stability and capital efficiency of NRG’s integrated retail-generation model.</w:t>
      </w:r>
    </w:p>
    <w:bookmarkStart w:id="12" w:name="what-to-watch-in-the-east-segment"/>
    <w:p>
      <w:pPr>
        <w:pStyle w:val="Heading3"/>
      </w:pPr>
      <w:r>
        <w:t xml:space="preserve">What to watch in the East segment</w:t>
      </w:r>
    </w:p>
    <w:p>
      <w:pPr>
        <w:pStyle w:val="FirstParagraph"/>
      </w:pPr>
      <w:r>
        <w:t xml:space="preserve">Q1 East adjusted EBITDA was</w:t>
      </w:r>
      <w:r>
        <w:t xml:space="preserve"> </w:t>
      </w:r>
      <w:r>
        <w:rPr>
          <w:b/>
          <w:bCs/>
        </w:rPr>
        <w:t xml:space="preserve">$464 million</w:t>
      </w:r>
      <w:r>
        <w:t xml:space="preserve">, down slightly year over year despite the acquired assets. Winter Storm Fern increased retail power-supply costs, while NRG owned the LS assets for only the final part of the event.</w:t>
      </w:r>
    </w:p>
    <w:p>
      <w:pPr>
        <w:pStyle w:val="BodyText"/>
      </w:pPr>
      <w:r>
        <w:t xml:space="preserve">Q2 should offer a cleaner test of the strategic rationale. A strong East result would show that generation earnings, capacity revenue, and CPower are offsetting retail procurement risk without requiring unexpectedly high operating expenses.</w:t>
      </w:r>
    </w:p>
    <w:p>
      <w:r>
        <w:pict>
          <v:rect style="width:0;height:1.5pt" o:hralign="center" o:hrstd="t" o:hr="t"/>
        </w:pict>
      </w:r>
    </w:p>
    <w:bookmarkEnd w:id="12"/>
    <w:bookmarkEnd w:id="13"/>
    <w:bookmarkStart w:id="14" w:name="X957d8a81b65114ab189cc98d6e568f9e5622103"/>
    <w:p>
      <w:pPr>
        <w:pStyle w:val="Heading2"/>
      </w:pPr>
      <w:r>
        <w:t xml:space="preserve">2. Full-year guidance and second-half dependence</w:t>
      </w:r>
    </w:p>
    <w:p>
      <w:pPr>
        <w:pStyle w:val="FirstParagraph"/>
      </w:pPr>
      <w:r>
        <w:t xml:space="preserve">The central earnings-call debate will likely be the quality of the guidance reaffirmation.</w:t>
      </w:r>
    </w:p>
    <w:p>
      <w:pPr>
        <w:pStyle w:val="BodyText"/>
      </w:pPr>
      <w:r>
        <w:t xml:space="preserve">In Q1, Texas suffered from mild weather and limited market volatility, while East retail supply costs were elevated. Management argued that these conditions did not change the full-year outlook because summer remained ahead and cash flow is seasonally back-end weighted.</w:t>
      </w:r>
    </w:p>
    <w:p>
      <w:pPr>
        <w:pStyle w:val="BodyText"/>
      </w:pPr>
      <w:r>
        <w:t xml:space="preserve">Investors should listen for:</w:t>
      </w:r>
    </w:p>
    <w:p>
      <w:pPr>
        <w:pStyle w:val="Compact"/>
        <w:numPr>
          <w:ilvl w:val="0"/>
          <w:numId w:val="1005"/>
        </w:numPr>
      </w:pPr>
      <w:r>
        <w:t xml:space="preserve">The company’s position within its EBITDA and FCF ranges.</w:t>
      </w:r>
    </w:p>
    <w:p>
      <w:pPr>
        <w:pStyle w:val="Compact"/>
        <w:numPr>
          <w:ilvl w:val="0"/>
          <w:numId w:val="1005"/>
        </w:numPr>
      </w:pPr>
      <w:r>
        <w:t xml:space="preserve">Whether results now depend on unusually favorable summer conditions.</w:t>
      </w:r>
    </w:p>
    <w:p>
      <w:pPr>
        <w:pStyle w:val="Compact"/>
        <w:numPr>
          <w:ilvl w:val="0"/>
          <w:numId w:val="1005"/>
        </w:numPr>
      </w:pPr>
      <w:r>
        <w:t xml:space="preserve">Changes in commodity hedges since March 31.</w:t>
      </w:r>
    </w:p>
    <w:p>
      <w:pPr>
        <w:pStyle w:val="Compact"/>
        <w:numPr>
          <w:ilvl w:val="0"/>
          <w:numId w:val="1005"/>
        </w:numPr>
      </w:pPr>
      <w:r>
        <w:t xml:space="preserve">Updated expectations for retail load, margins, customer attrition, bad debt, and generation volumes.</w:t>
      </w:r>
    </w:p>
    <w:p>
      <w:pPr>
        <w:pStyle w:val="Compact"/>
        <w:numPr>
          <w:ilvl w:val="0"/>
          <w:numId w:val="1005"/>
        </w:numPr>
      </w:pPr>
      <w:r>
        <w:t xml:space="preserve">The amount of EBITDA and cash flow expected in Q3 versus Q4.</w:t>
      </w:r>
    </w:p>
    <w:p>
      <w:pPr>
        <w:pStyle w:val="Compact"/>
        <w:numPr>
          <w:ilvl w:val="0"/>
          <w:numId w:val="1005"/>
        </w:numPr>
      </w:pPr>
      <w:r>
        <w:t xml:space="preserve">Whether acquisition-related interest and depreciation remain consistent with prior guidance.</w:t>
      </w:r>
    </w:p>
    <w:p>
      <w:pPr>
        <w:pStyle w:val="FirstParagraph"/>
      </w:pPr>
      <w:r>
        <w:t xml:space="preserve">A guidance reaffirmation is most credible if NRG can explain the expected contributions from the LS assets, Texas generation, retail margins, Vivint, capacity revenue, and working capital. Greater dependence on weather or market volatility would weaken the quality of the outlook.</w:t>
      </w:r>
    </w:p>
    <w:p>
      <w:r>
        <w:pict>
          <v:rect style="width:0;height:1.5pt" o:hralign="center" o:hrstd="t" o:hr="t"/>
        </w:pict>
      </w:r>
    </w:p>
    <w:bookmarkEnd w:id="14"/>
    <w:bookmarkStart w:id="18" w:name="X0036745a30f12024b8e879711232d7bfeaa9971"/>
    <w:p>
      <w:pPr>
        <w:pStyle w:val="Heading2"/>
      </w:pPr>
      <w:r>
        <w:t xml:space="preserve">3. Texas: fleet performance, summer exposure, and T.H. Wharton</w:t>
      </w:r>
    </w:p>
    <w:p>
      <w:pPr>
        <w:pStyle w:val="FirstParagraph"/>
      </w:pPr>
      <w:r>
        <w:t xml:space="preserve">Texas adjusted EBITDA fell to</w:t>
      </w:r>
      <w:r>
        <w:t xml:space="preserve"> </w:t>
      </w:r>
      <w:r>
        <w:rPr>
          <w:b/>
          <w:bCs/>
        </w:rPr>
        <w:t xml:space="preserve">$216 million</w:t>
      </w:r>
      <w:r>
        <w:t xml:space="preserve"> </w:t>
      </w:r>
      <w:r>
        <w:t xml:space="preserve">in Q1 from $299 million a year earlier, principally because heating degree days were about 30% lower and market conditions offered limited optimization opportunities.</w:t>
      </w:r>
    </w:p>
    <w:p>
      <w:pPr>
        <w:pStyle w:val="BodyText"/>
      </w:pPr>
      <w:r>
        <w:t xml:space="preserve">The Q2 discussion should answer three questions.</w:t>
      </w:r>
    </w:p>
    <w:bookmarkStart w:id="15" w:name="X42214938528d409faa95d89b7def009a55bb0cd"/>
    <w:p>
      <w:pPr>
        <w:pStyle w:val="Heading3"/>
      </w:pPr>
      <w:r>
        <w:t xml:space="preserve">Has T.H. Wharton entered commercial operation?</w:t>
      </w:r>
    </w:p>
    <w:p>
      <w:pPr>
        <w:pStyle w:val="FirstParagraph"/>
      </w:pPr>
      <w:r>
        <w:t xml:space="preserve">NRG previously expected the</w:t>
      </w:r>
      <w:r>
        <w:t xml:space="preserve"> </w:t>
      </w:r>
      <w:r>
        <w:rPr>
          <w:b/>
          <w:bCs/>
        </w:rPr>
        <w:t xml:space="preserve">415 MW T.H. Wharton</w:t>
      </w:r>
      <w:r>
        <w:t xml:space="preserve"> </w:t>
      </w:r>
      <w:r>
        <w:t xml:space="preserve">facility to begin commercial operations by the end of May. Confirmation of commercial operation—on time, on budget, and eligible for the Texas Energy Fund completion bonus—is an important execution milestone.</w:t>
      </w:r>
    </w:p>
    <w:p>
      <w:pPr>
        <w:pStyle w:val="BodyText"/>
      </w:pPr>
      <w:r>
        <w:t xml:space="preserve">Investors will also want updates on:</w:t>
      </w:r>
    </w:p>
    <w:p>
      <w:pPr>
        <w:pStyle w:val="Compact"/>
        <w:numPr>
          <w:ilvl w:val="0"/>
          <w:numId w:val="1006"/>
        </w:numPr>
      </w:pPr>
      <w:r>
        <w:t xml:space="preserve">Operational performance since commissioning.</w:t>
      </w:r>
    </w:p>
    <w:p>
      <w:pPr>
        <w:pStyle w:val="Compact"/>
        <w:numPr>
          <w:ilvl w:val="0"/>
          <w:numId w:val="1006"/>
        </w:numPr>
      </w:pPr>
      <w:r>
        <w:t xml:space="preserve">Expected 2026 EBITDA contribution.</w:t>
      </w:r>
    </w:p>
    <w:p>
      <w:pPr>
        <w:pStyle w:val="Compact"/>
        <w:numPr>
          <w:ilvl w:val="0"/>
          <w:numId w:val="1006"/>
        </w:numPr>
      </w:pPr>
      <w:r>
        <w:t xml:space="preserve">Final project cost and Texas Energy Fund economics.</w:t>
      </w:r>
    </w:p>
    <w:p>
      <w:pPr>
        <w:pStyle w:val="Compact"/>
        <w:numPr>
          <w:ilvl w:val="0"/>
          <w:numId w:val="1006"/>
        </w:numPr>
      </w:pPr>
      <w:r>
        <w:t xml:space="preserve">Cedar Bayou 5 and Greens Bayou 6, which are targeted for late-2028 completion.</w:t>
      </w:r>
    </w:p>
    <w:p>
      <w:pPr>
        <w:pStyle w:val="FirstParagraph"/>
      </w:pPr>
      <w:r>
        <w:t xml:space="preserve">All three projects total approximately</w:t>
      </w:r>
      <w:r>
        <w:t xml:space="preserve"> </w:t>
      </w:r>
      <w:r>
        <w:rPr>
          <w:b/>
          <w:bCs/>
        </w:rPr>
        <w:t xml:space="preserve">1.5 GW</w:t>
      </w:r>
      <w:r>
        <w:t xml:space="preserve">.</w:t>
      </w:r>
    </w:p>
    <w:bookmarkEnd w:id="15"/>
    <w:bookmarkStart w:id="16" w:name="X1364b9eae0bed300c94b76935061933bcbfb373"/>
    <w:p>
      <w:pPr>
        <w:pStyle w:val="Heading3"/>
      </w:pPr>
      <w:r>
        <w:t xml:space="preserve">Is the existing fleet ready for peak summer conditions?</w:t>
      </w:r>
    </w:p>
    <w:p>
      <w:pPr>
        <w:pStyle w:val="FirstParagraph"/>
      </w:pPr>
      <w:r>
        <w:t xml:space="preserve">NRG highlighted strong fleet reliability during Winter Storm Fern. The same standard must hold through the Texas summer. Availability matters because NRG’s upside from tighter ERCOT conditions disappears if plants are unavailable during high-price hours.</w:t>
      </w:r>
    </w:p>
    <w:p>
      <w:pPr>
        <w:pStyle w:val="BodyText"/>
      </w:pPr>
      <w:r>
        <w:t xml:space="preserve">Relevant disclosures would include:</w:t>
      </w:r>
    </w:p>
    <w:p>
      <w:pPr>
        <w:pStyle w:val="Compact"/>
        <w:numPr>
          <w:ilvl w:val="0"/>
          <w:numId w:val="1007"/>
        </w:numPr>
      </w:pPr>
      <w:r>
        <w:t xml:space="preserve">Equivalent availability and forced-outage rates.</w:t>
      </w:r>
    </w:p>
    <w:p>
      <w:pPr>
        <w:pStyle w:val="Compact"/>
        <w:numPr>
          <w:ilvl w:val="0"/>
          <w:numId w:val="1007"/>
        </w:numPr>
      </w:pPr>
      <w:r>
        <w:t xml:space="preserve">Planned versus unplanned maintenance.</w:t>
      </w:r>
    </w:p>
    <w:p>
      <w:pPr>
        <w:pStyle w:val="Compact"/>
        <w:numPr>
          <w:ilvl w:val="0"/>
          <w:numId w:val="1007"/>
        </w:numPr>
      </w:pPr>
      <w:r>
        <w:t xml:space="preserve">Generation volumes and realized power margins.</w:t>
      </w:r>
    </w:p>
    <w:p>
      <w:pPr>
        <w:pStyle w:val="Compact"/>
        <w:numPr>
          <w:ilvl w:val="0"/>
          <w:numId w:val="1007"/>
        </w:numPr>
      </w:pPr>
      <w:r>
        <w:t xml:space="preserve">Retail load coverage and hedge positioning.</w:t>
      </w:r>
    </w:p>
    <w:bookmarkEnd w:id="16"/>
    <w:bookmarkStart w:id="17" w:name="are-retail-fundamentals-stable"/>
    <w:p>
      <w:pPr>
        <w:pStyle w:val="Heading3"/>
      </w:pPr>
      <w:r>
        <w:t xml:space="preserve">Are retail fundamentals stable?</w:t>
      </w:r>
    </w:p>
    <w:p>
      <w:pPr>
        <w:pStyle w:val="FirstParagraph"/>
      </w:pPr>
      <w:r>
        <w:t xml:space="preserve">Q1 Texas home-electricity volumes declined because of weather and customer mix. Management also indicated it had prioritized customer quality, retention, and credit performance over pure account growth.</w:t>
      </w:r>
    </w:p>
    <w:p>
      <w:pPr>
        <w:pStyle w:val="BodyText"/>
      </w:pPr>
      <w:r>
        <w:t xml:space="preserve">Watch for:</w:t>
      </w:r>
    </w:p>
    <w:p>
      <w:pPr>
        <w:pStyle w:val="Compact"/>
        <w:numPr>
          <w:ilvl w:val="0"/>
          <w:numId w:val="1008"/>
        </w:numPr>
      </w:pPr>
      <w:r>
        <w:t xml:space="preserve">Residential customer count.</w:t>
      </w:r>
    </w:p>
    <w:p>
      <w:pPr>
        <w:pStyle w:val="Compact"/>
        <w:numPr>
          <w:ilvl w:val="0"/>
          <w:numId w:val="1008"/>
        </w:numPr>
      </w:pPr>
      <w:r>
        <w:t xml:space="preserve">Churn and bad-debt expense.</w:t>
      </w:r>
    </w:p>
    <w:p>
      <w:pPr>
        <w:pStyle w:val="Compact"/>
        <w:numPr>
          <w:ilvl w:val="0"/>
          <w:numId w:val="1008"/>
        </w:numPr>
      </w:pPr>
      <w:r>
        <w:t xml:space="preserve">Gross margin per customer.</w:t>
      </w:r>
    </w:p>
    <w:p>
      <w:pPr>
        <w:pStyle w:val="Compact"/>
        <w:numPr>
          <w:ilvl w:val="0"/>
          <w:numId w:val="1008"/>
        </w:numPr>
      </w:pPr>
      <w:r>
        <w:t xml:space="preserve">Load growth and weather-normalized usage.</w:t>
      </w:r>
    </w:p>
    <w:p>
      <w:pPr>
        <w:pStyle w:val="Compact"/>
        <w:numPr>
          <w:ilvl w:val="0"/>
          <w:numId w:val="1008"/>
        </w:numPr>
      </w:pPr>
      <w:r>
        <w:t xml:space="preserve">Progress bundling energy, smart-home, and virtual-power-plant products.</w:t>
      </w:r>
    </w:p>
    <w:p>
      <w:r>
        <w:pict>
          <v:rect style="width:0;height:1.5pt" o:hralign="center" o:hrstd="t" o:hr="t"/>
        </w:pict>
      </w:r>
    </w:p>
    <w:bookmarkEnd w:id="17"/>
    <w:bookmarkEnd w:id="18"/>
    <w:bookmarkStart w:id="19" w:name="X3156f6486d896370cee114df0b38361f198ab02"/>
    <w:p>
      <w:pPr>
        <w:pStyle w:val="Heading2"/>
      </w:pPr>
      <w:r>
        <w:t xml:space="preserve">4. PJM capacity auction: substantial future value, but not a Q2 event</w:t>
      </w:r>
    </w:p>
    <w:p>
      <w:pPr>
        <w:pStyle w:val="FirstParagraph"/>
      </w:pPr>
      <w:r>
        <w:t xml:space="preserve">NRG cleared</w:t>
      </w:r>
      <w:r>
        <w:t xml:space="preserve"> </w:t>
      </w:r>
      <w:r>
        <w:rPr>
          <w:b/>
          <w:bCs/>
        </w:rPr>
        <w:t xml:space="preserve">6,839 MW</w:t>
      </w:r>
      <w:r>
        <w:t xml:space="preserve"> </w:t>
      </w:r>
      <w:r>
        <w:t xml:space="preserve">in PJM’s 2028–2029 capacity auction at an average price of</w:t>
      </w:r>
      <w:r>
        <w:t xml:space="preserve"> </w:t>
      </w:r>
      <m:oMath>
        <m:r>
          <m:t>325</m:t>
        </m:r>
        <m:r>
          <m:t>p</m:t>
        </m:r>
        <m:r>
          <m:t>e</m:t>
        </m:r>
        <m:r>
          <m:t>r</m:t>
        </m:r>
        <m:r>
          <m:t>M</m:t>
        </m:r>
        <m:r>
          <m:t>W</m:t>
        </m:r>
        <m:r>
          <m:rPr>
            <m:sty m:val="p"/>
          </m:rPr>
          <m:t>−</m:t>
        </m:r>
        <m:r>
          <m:t>d</m:t>
        </m:r>
        <m:r>
          <m:t>a</m:t>
        </m:r>
        <m:r>
          <m:t>y</m:t>
        </m:r>
        <m:r>
          <m:rPr>
            <m:sty m:val="p"/>
          </m:rPr>
          <m:t>*</m:t>
        </m:r>
        <m:r>
          <m:rPr>
            <m:sty m:val="p"/>
          </m:rPr>
          <m:t>*</m:t>
        </m:r>
        <m:r>
          <m:rPr>
            <m:sty m:val="p"/>
          </m:rPr>
          <m:t>.</m:t>
        </m:r>
        <m:r>
          <m:t>O</m:t>
        </m:r>
        <m:r>
          <m:t>n</m:t>
        </m:r>
        <m:r>
          <m:t>a</m:t>
        </m:r>
        <m:r>
          <m:t>s</m:t>
        </m:r>
        <m:r>
          <m:t>i</m:t>
        </m:r>
        <m:r>
          <m:t>m</m:t>
        </m:r>
        <m:r>
          <m:t>p</m:t>
        </m:r>
        <m:r>
          <m:t>l</m:t>
        </m:r>
        <m:r>
          <m:t>e</m:t>
        </m:r>
        <m:r>
          <m:t>M</m:t>
        </m:r>
        <m:r>
          <m:t>W</m:t>
        </m:r>
        <m:r>
          <m:rPr>
            <m:sty m:val="p"/>
          </m:rPr>
          <m:t>−</m:t>
        </m:r>
        <m:r>
          <m:t>t</m:t>
        </m:r>
        <m:r>
          <m:t>i</m:t>
        </m:r>
        <m:r>
          <m:t>m</m:t>
        </m:r>
        <m:r>
          <m:t>e</m:t>
        </m:r>
        <m:r>
          <m:t>s</m:t>
        </m:r>
        <m:r>
          <m:rPr>
            <m:sty m:val="p"/>
          </m:rPr>
          <m:t>−</m:t>
        </m:r>
        <m:r>
          <m:t>p</m:t>
        </m:r>
        <m:r>
          <m:t>r</m:t>
        </m:r>
        <m:r>
          <m:t>i</m:t>
        </m:r>
        <m:r>
          <m:t>c</m:t>
        </m:r>
        <m:r>
          <m:t>e</m:t>
        </m:r>
        <m:r>
          <m:t>b</m:t>
        </m:r>
        <m:r>
          <m:t>a</m:t>
        </m:r>
        <m:r>
          <m:t>s</m:t>
        </m:r>
        <m:r>
          <m:t>i</m:t>
        </m:r>
        <m:r>
          <m:t>s</m:t>
        </m:r>
        <m:r>
          <m:rPr>
            <m:sty m:val="p"/>
          </m:rPr>
          <m:t>,</m:t>
        </m:r>
        <m:r>
          <m:t>t</m:t>
        </m:r>
        <m:r>
          <m:t>h</m:t>
        </m:r>
        <m:r>
          <m:t>a</m:t>
        </m:r>
        <m:r>
          <m:t>t</m:t>
        </m:r>
        <m:r>
          <m:t>r</m:t>
        </m:r>
        <m:r>
          <m:t>e</m:t>
        </m:r>
        <m:r>
          <m:t>p</m:t>
        </m:r>
        <m:r>
          <m:t>r</m:t>
        </m:r>
        <m:r>
          <m:t>e</m:t>
        </m:r>
        <m:r>
          <m:t>s</m:t>
        </m:r>
        <m:r>
          <m:t>e</m:t>
        </m:r>
        <m:r>
          <m:t>n</m:t>
        </m:r>
        <m:r>
          <m:t>t</m:t>
        </m:r>
        <m:r>
          <m:t>s</m:t>
        </m:r>
        <m:r>
          <m:t>a</m:t>
        </m:r>
        <m:r>
          <m:t>p</m:t>
        </m:r>
        <m:r>
          <m:t>p</m:t>
        </m:r>
        <m:r>
          <m:t>r</m:t>
        </m:r>
        <m:r>
          <m:t>o</m:t>
        </m:r>
        <m:r>
          <m:t>x</m:t>
        </m:r>
        <m:r>
          <m:t>i</m:t>
        </m:r>
        <m:r>
          <m:t>m</m:t>
        </m:r>
        <m:r>
          <m:t>a</m:t>
        </m:r>
        <m:r>
          <m:t>t</m:t>
        </m:r>
        <m:r>
          <m:t>e</m:t>
        </m:r>
        <m:r>
          <m:t>l</m:t>
        </m:r>
        <m:r>
          <m:t>y</m:t>
        </m:r>
        <m:r>
          <m:rPr>
            <m:sty m:val="p"/>
          </m:rPr>
          <m:t>*</m:t>
        </m:r>
        <m:r>
          <m:rPr>
            <m:sty m:val="p"/>
          </m:rPr>
          <m:t>*</m:t>
        </m:r>
      </m:oMath>
      <w:r>
        <w:rPr>
          <w:b/>
          <w:bCs/>
        </w:rPr>
        <w:t xml:space="preserve">811 million of annualized gross capacity revenue</w:t>
      </w:r>
      <w:r>
        <w:t xml:space="preserve"> </w:t>
      </w:r>
      <w:r>
        <w:t xml:space="preserve">for the delivery year, before considering costs, performance requirements, asset-specific details, or revenue already assumed in long-term expectations.</w:t>
      </w:r>
    </w:p>
    <w:p>
      <w:pPr>
        <w:pStyle w:val="BodyText"/>
      </w:pPr>
      <w:r>
        <w:t xml:space="preserve">This result does not affect Q2 2026 earnings, but it is highly relevant to valuation and future cash-flow visibility.</w:t>
      </w:r>
    </w:p>
    <w:p>
      <w:pPr>
        <w:pStyle w:val="BodyText"/>
      </w:pPr>
      <w:r>
        <w:t xml:space="preserve">Key questions for management:</w:t>
      </w:r>
    </w:p>
    <w:p>
      <w:pPr>
        <w:pStyle w:val="Compact"/>
        <w:numPr>
          <w:ilvl w:val="0"/>
          <w:numId w:val="1009"/>
        </w:numPr>
      </w:pPr>
      <w:r>
        <w:t xml:space="preserve">How much of the auction result was already embedded in NRG’s long-term plan?</w:t>
      </w:r>
    </w:p>
    <w:p>
      <w:pPr>
        <w:pStyle w:val="Compact"/>
        <w:numPr>
          <w:ilvl w:val="0"/>
          <w:numId w:val="1009"/>
        </w:numPr>
      </w:pPr>
      <w:r>
        <w:t xml:space="preserve">What is the incremental EBITDA and free-cash-flow benefit relative to prior assumptions?</w:t>
      </w:r>
    </w:p>
    <w:p>
      <w:pPr>
        <w:pStyle w:val="Compact"/>
        <w:numPr>
          <w:ilvl w:val="0"/>
          <w:numId w:val="1009"/>
        </w:numPr>
      </w:pPr>
      <w:r>
        <w:t xml:space="preserve">Does the result support additional investment in the PJM fleet?</w:t>
      </w:r>
    </w:p>
    <w:p>
      <w:pPr>
        <w:pStyle w:val="Compact"/>
        <w:numPr>
          <w:ilvl w:val="0"/>
          <w:numId w:val="1009"/>
        </w:numPr>
      </w:pPr>
      <w:r>
        <w:t xml:space="preserve">How should investors think about performance obligations and outage penalties?</w:t>
      </w:r>
    </w:p>
    <w:p>
      <w:pPr>
        <w:pStyle w:val="Compact"/>
        <w:numPr>
          <w:ilvl w:val="0"/>
          <w:numId w:val="1009"/>
        </w:numPr>
      </w:pPr>
      <w:r>
        <w:t xml:space="preserve">Will the capacity revenue accelerate deleveraging or future shareholder returns?</w:t>
      </w:r>
    </w:p>
    <w:p>
      <w:pPr>
        <w:pStyle w:val="FirstParagraph"/>
      </w:pPr>
      <w:r>
        <w:t xml:space="preserve">Management has identified up to</w:t>
      </w:r>
      <w:r>
        <w:t xml:space="preserve"> </w:t>
      </w:r>
      <w:r>
        <w:rPr>
          <w:b/>
          <w:bCs/>
        </w:rPr>
        <w:t xml:space="preserve">2 GW of potential uprates and gas-unit conversions</w:t>
      </w:r>
      <w:r>
        <w:t xml:space="preserve"> </w:t>
      </w:r>
      <w:r>
        <w:t xml:space="preserve">in PJM. It has also said it will not deploy capital into these projects without contracts or other long-duration revenue support. Investors should look for greater detail on project costs, timing, expected returns, and whether the auction or bilateral contracts can support final investment decisions.</w:t>
      </w:r>
    </w:p>
    <w:p>
      <w:r>
        <w:pict>
          <v:rect style="width:0;height:1.5pt" o:hralign="center" o:hrstd="t" o:hr="t"/>
        </w:pict>
      </w:r>
    </w:p>
    <w:bookmarkEnd w:id="19"/>
    <w:bookmarkStart w:id="20" w:name="X909de07c05aa6822b73fc01d0de1f8caa01fde0"/>
    <w:p>
      <w:pPr>
        <w:pStyle w:val="Heading2"/>
      </w:pPr>
      <w:r>
        <w:t xml:space="preserve">5. Large-load and data-center contracting</w:t>
      </w:r>
    </w:p>
    <w:p>
      <w:pPr>
        <w:pStyle w:val="FirstParagraph"/>
      </w:pPr>
      <w:r>
        <w:t xml:space="preserve">A large-load agreement remains the most visible potential catalyst not included in NRG’s base financial plan.</w:t>
      </w:r>
    </w:p>
    <w:p>
      <w:pPr>
        <w:pStyle w:val="BodyText"/>
      </w:pPr>
      <w:r>
        <w:t xml:space="preserve">On the Q1 call, management said:</w:t>
      </w:r>
    </w:p>
    <w:p>
      <w:pPr>
        <w:pStyle w:val="Compact"/>
        <w:numPr>
          <w:ilvl w:val="0"/>
          <w:numId w:val="1010"/>
        </w:numPr>
      </w:pPr>
      <w:r>
        <w:t xml:space="preserve">Active discussions were progressing.</w:t>
      </w:r>
    </w:p>
    <w:p>
      <w:pPr>
        <w:pStyle w:val="Compact"/>
        <w:numPr>
          <w:ilvl w:val="0"/>
          <w:numId w:val="1010"/>
        </w:numPr>
      </w:pPr>
      <w:r>
        <w:t xml:space="preserve">Current Texas conversations were primarily front-of-the-meter.</w:t>
      </w:r>
    </w:p>
    <w:p>
      <w:pPr>
        <w:pStyle w:val="Compact"/>
        <w:numPr>
          <w:ilvl w:val="0"/>
          <w:numId w:val="1010"/>
        </w:numPr>
      </w:pPr>
      <w:r>
        <w:t xml:space="preserve">A project would need to be contracted during 2026 to reach a targeted 2029 commercial-operation date.</w:t>
      </w:r>
    </w:p>
    <w:p>
      <w:pPr>
        <w:pStyle w:val="Compact"/>
        <w:numPr>
          <w:ilvl w:val="0"/>
          <w:numId w:val="1010"/>
        </w:numPr>
      </w:pPr>
      <w:r>
        <w:t xml:space="preserve">The principal obstacles were infrastructure, generation and load interconnections, site requirements, and gas infrastructure—not necessarily power-price economics.</w:t>
      </w:r>
    </w:p>
    <w:p>
      <w:pPr>
        <w:pStyle w:val="FirstParagraph"/>
      </w:pPr>
      <w:r>
        <w:t xml:space="preserve">The market will likely have limited patience for another quarter of broadly positive but non-specific commentary. Useful new information would include:</w:t>
      </w:r>
    </w:p>
    <w:p>
      <w:pPr>
        <w:pStyle w:val="Compact"/>
        <w:numPr>
          <w:ilvl w:val="0"/>
          <w:numId w:val="1011"/>
        </w:numPr>
      </w:pPr>
      <w:r>
        <w:t xml:space="preserve">A signed agreement, exclusivity arrangement, or advanced commercial milestone.</w:t>
      </w:r>
    </w:p>
    <w:p>
      <w:pPr>
        <w:pStyle w:val="Compact"/>
        <w:numPr>
          <w:ilvl w:val="0"/>
          <w:numId w:val="1011"/>
        </w:numPr>
      </w:pPr>
      <w:r>
        <w:t xml:space="preserve">Capacity, location, contract duration, and targeted in-service date.</w:t>
      </w:r>
    </w:p>
    <w:p>
      <w:pPr>
        <w:pStyle w:val="Compact"/>
        <w:numPr>
          <w:ilvl w:val="0"/>
          <w:numId w:val="1011"/>
        </w:numPr>
      </w:pPr>
      <w:r>
        <w:t xml:space="preserve">Counterparty credit protections.</w:t>
      </w:r>
    </w:p>
    <w:p>
      <w:pPr>
        <w:pStyle w:val="Compact"/>
        <w:numPr>
          <w:ilvl w:val="0"/>
          <w:numId w:val="1011"/>
        </w:numPr>
      </w:pPr>
      <w:r>
        <w:t xml:space="preserve">Generation and infrastructure capital requirements.</w:t>
      </w:r>
    </w:p>
    <w:p>
      <w:pPr>
        <w:pStyle w:val="Compact"/>
        <w:numPr>
          <w:ilvl w:val="0"/>
          <w:numId w:val="1011"/>
        </w:numPr>
      </w:pPr>
      <w:r>
        <w:t xml:space="preserve">Expected return thresholds.</w:t>
      </w:r>
    </w:p>
    <w:p>
      <w:pPr>
        <w:pStyle w:val="Compact"/>
        <w:numPr>
          <w:ilvl w:val="0"/>
          <w:numId w:val="1011"/>
        </w:numPr>
      </w:pPr>
      <w:r>
        <w:t xml:space="preserve">Whether turbines reserved through NRG’s GE Vernova/Kiewit arrangements have been assigned to a project.</w:t>
      </w:r>
    </w:p>
    <w:p>
      <w:pPr>
        <w:pStyle w:val="FirstParagraph"/>
      </w:pPr>
      <w:r>
        <w:t xml:space="preserve">No contract is required for NRG to achieve its existing five-year targets, according to management. Nevertheless, continued delays could reduce the option value investors assign to the opportunity.</w:t>
      </w:r>
    </w:p>
    <w:p>
      <w:r>
        <w:pict>
          <v:rect style="width:0;height:1.5pt" o:hralign="center" o:hrstd="t" o:hr="t"/>
        </w:pict>
      </w:r>
    </w:p>
    <w:bookmarkEnd w:id="20"/>
    <w:bookmarkStart w:id="21" w:name="Xf4001a658d39176f1cb5a742afc483c19f50351"/>
    <w:p>
      <w:pPr>
        <w:pStyle w:val="Heading2"/>
      </w:pPr>
      <w:r>
        <w:t xml:space="preserve">6. Vivint and distributed-energy growth</w:t>
      </w:r>
    </w:p>
    <w:p>
      <w:pPr>
        <w:pStyle w:val="FirstParagraph"/>
      </w:pPr>
      <w:r>
        <w:t xml:space="preserve">Vivint remains a relatively stable growth component within an otherwise commodity- and weather-sensitive company.</w:t>
      </w:r>
    </w:p>
    <w:p>
      <w:pPr>
        <w:pStyle w:val="BodyText"/>
      </w:pPr>
      <w:r>
        <w:t xml:space="preserve">Q1 Vivint adjusted EBITDA increased to</w:t>
      </w:r>
      <w:r>
        <w:t xml:space="preserve"> </w:t>
      </w:r>
      <w:r>
        <w:rPr>
          <w:b/>
          <w:bCs/>
        </w:rPr>
        <w:t xml:space="preserve">$294 million</w:t>
      </w:r>
      <w:r>
        <w:t xml:space="preserve"> </w:t>
      </w:r>
      <w:r>
        <w:t xml:space="preserve">from $280 million, driven by customer growth and higher recurring service margin. Ending customer count reached approximately</w:t>
      </w:r>
      <w:r>
        <w:t xml:space="preserve"> </w:t>
      </w:r>
      <w:r>
        <w:rPr>
          <w:b/>
          <w:bCs/>
        </w:rPr>
        <w:t xml:space="preserve">2.43 million</w:t>
      </w:r>
      <w:r>
        <w:t xml:space="preserve">, with growth running ahead of the 5%–6% rate assumed in NRG’s long-term plan.</w:t>
      </w:r>
    </w:p>
    <w:p>
      <w:pPr>
        <w:pStyle w:val="BodyText"/>
      </w:pPr>
      <w:r>
        <w:t xml:space="preserve">Key Q2 indicators:</w:t>
      </w:r>
    </w:p>
    <w:p>
      <w:pPr>
        <w:pStyle w:val="Compact"/>
        <w:numPr>
          <w:ilvl w:val="0"/>
          <w:numId w:val="1012"/>
        </w:numPr>
      </w:pPr>
      <w:r>
        <w:t xml:space="preserve">Net subscriber additions and retention.</w:t>
      </w:r>
    </w:p>
    <w:p>
      <w:pPr>
        <w:pStyle w:val="Compact"/>
        <w:numPr>
          <w:ilvl w:val="0"/>
          <w:numId w:val="1012"/>
        </w:numPr>
      </w:pPr>
      <w:r>
        <w:t xml:space="preserve">Monthly recurring service margin.</w:t>
      </w:r>
    </w:p>
    <w:p>
      <w:pPr>
        <w:pStyle w:val="Compact"/>
        <w:numPr>
          <w:ilvl w:val="0"/>
          <w:numId w:val="1012"/>
        </w:numPr>
      </w:pPr>
      <w:r>
        <w:t xml:space="preserve">Customer acquisition cost.</w:t>
      </w:r>
    </w:p>
    <w:p>
      <w:pPr>
        <w:pStyle w:val="Compact"/>
        <w:numPr>
          <w:ilvl w:val="0"/>
          <w:numId w:val="1012"/>
        </w:numPr>
      </w:pPr>
      <w:r>
        <w:t xml:space="preserve">Credit losses tied to consumer financing.</w:t>
      </w:r>
    </w:p>
    <w:p>
      <w:pPr>
        <w:pStyle w:val="Compact"/>
        <w:numPr>
          <w:ilvl w:val="0"/>
          <w:numId w:val="1012"/>
        </w:numPr>
      </w:pPr>
      <w:r>
        <w:t xml:space="preserve">Progress combining Vivint with retail energy products.</w:t>
      </w:r>
    </w:p>
    <w:p>
      <w:pPr>
        <w:pStyle w:val="Compact"/>
        <w:numPr>
          <w:ilvl w:val="0"/>
          <w:numId w:val="1012"/>
        </w:numPr>
      </w:pPr>
      <w:r>
        <w:t xml:space="preserve">Virtual-power-plant enrollment and dispatchable capacity.</w:t>
      </w:r>
    </w:p>
    <w:p>
      <w:pPr>
        <w:pStyle w:val="FirstParagraph"/>
      </w:pPr>
      <w:r>
        <w:t xml:space="preserve">The Texas residential VPP had surpassed</w:t>
      </w:r>
      <w:r>
        <w:t xml:space="preserve"> </w:t>
      </w:r>
      <w:r>
        <w:rPr>
          <w:b/>
          <w:bCs/>
        </w:rPr>
        <w:t xml:space="preserve">200 MW</w:t>
      </w:r>
      <w:r>
        <w:t xml:space="preserve"> </w:t>
      </w:r>
      <w:r>
        <w:t xml:space="preserve">as of Q1, against a long-term target of</w:t>
      </w:r>
      <w:r>
        <w:t xml:space="preserve"> </w:t>
      </w:r>
      <w:r>
        <w:rPr>
          <w:b/>
          <w:bCs/>
        </w:rPr>
        <w:t xml:space="preserve">1 GW by 2035</w:t>
      </w:r>
      <w:r>
        <w:t xml:space="preserve">. Investors should watch whether this is becoming a material economic product rather than simply a strategic demonstration.</w:t>
      </w:r>
    </w:p>
    <w:p>
      <w:pPr>
        <w:pStyle w:val="BodyText"/>
      </w:pPr>
      <w:r>
        <w:t xml:space="preserve">CPower is also important. Its demand-response relationships provide NRG with a potential large-load-management product in PJM and other deregulated markets. Any disclosure on CPower growth, contracted capacity, or integration with NRG’s commercial customer base would be constructive.</w:t>
      </w:r>
    </w:p>
    <w:p>
      <w:r>
        <w:pict>
          <v:rect style="width:0;height:1.5pt" o:hralign="center" o:hrstd="t" o:hr="t"/>
        </w:pict>
      </w:r>
    </w:p>
    <w:bookmarkEnd w:id="21"/>
    <w:bookmarkStart w:id="24" w:name="Xa8eb21e706eccd3af30499d1d08ef1de49a226b"/>
    <w:p>
      <w:pPr>
        <w:pStyle w:val="Heading2"/>
      </w:pPr>
      <w:r>
        <w:t xml:space="preserve">7. Cash flow, leverage, and capital returns</w:t>
      </w:r>
    </w:p>
    <w:p>
      <w:pPr>
        <w:pStyle w:val="FirstParagraph"/>
      </w:pPr>
      <w:r>
        <w:t xml:space="preserve">NRG’s first-quarter cash flow looked weak on the surface: FCF before growth investments was</w:t>
      </w:r>
      <w:r>
        <w:t xml:space="preserve"> </w:t>
      </w:r>
      <w:r>
        <w:rPr>
          <w:b/>
          <w:bCs/>
        </w:rPr>
        <w:t xml:space="preserve">negative $66 million</w:t>
      </w:r>
      <w:r>
        <w:t xml:space="preserve">, versus positive $293 million in the prior-year quarter. The primary issue was collateral and working capital, rather than an equivalent decline in underlying EBITDA.</w:t>
      </w:r>
    </w:p>
    <w:p>
      <w:pPr>
        <w:pStyle w:val="BodyText"/>
      </w:pPr>
      <w:r>
        <w:t xml:space="preserve">Management previously expressed greater confidence in FCF guidance than in EBITDA guidance, citing expected working-capital reversals. Q2 should begin demonstrating that conversion.</w:t>
      </w:r>
    </w:p>
    <w:bookmarkStart w:id="22" w:name="balance-sheet-questions"/>
    <w:p>
      <w:pPr>
        <w:pStyle w:val="Heading3"/>
      </w:pPr>
      <w:r>
        <w:t xml:space="preserve">Balance-sheet questions</w:t>
      </w:r>
    </w:p>
    <w:p>
      <w:pPr>
        <w:pStyle w:val="FirstParagraph"/>
      </w:pPr>
      <w:r>
        <w:t xml:space="preserve">Following the LS transaction, March 31 liquidity was approximately</w:t>
      </w:r>
      <w:r>
        <w:t xml:space="preserve"> </w:t>
      </w:r>
      <w:r>
        <w:rPr>
          <w:b/>
          <w:bCs/>
        </w:rPr>
        <w:t xml:space="preserve">$3.25 billion</w:t>
      </w:r>
      <w:r>
        <w:t xml:space="preserve">, down from $9.63 billion at year-end because cash and revolver borrowings funded the acquisition. NRG subsequently refinanced debt and reduced revolver borrowings from $3.0 billion at quarter-end to $1.5 billion by April 30.</w:t>
      </w:r>
    </w:p>
    <w:p>
      <w:pPr>
        <w:pStyle w:val="BodyText"/>
      </w:pPr>
      <w:r>
        <w:t xml:space="preserve">Watch for:</w:t>
      </w:r>
    </w:p>
    <w:p>
      <w:pPr>
        <w:pStyle w:val="Compact"/>
        <w:numPr>
          <w:ilvl w:val="0"/>
          <w:numId w:val="1013"/>
        </w:numPr>
      </w:pPr>
      <w:r>
        <w:t xml:space="preserve">Current net leverage versus the</w:t>
      </w:r>
      <w:r>
        <w:t xml:space="preserve"> </w:t>
      </w:r>
      <w:r>
        <w:rPr>
          <w:b/>
          <w:bCs/>
        </w:rPr>
        <w:t xml:space="preserve">3× target</w:t>
      </w:r>
      <w:r>
        <w:t xml:space="preserve">.</w:t>
      </w:r>
    </w:p>
    <w:p>
      <w:pPr>
        <w:pStyle w:val="Compact"/>
        <w:numPr>
          <w:ilvl w:val="0"/>
          <w:numId w:val="1013"/>
        </w:numPr>
      </w:pPr>
      <w:r>
        <w:t xml:space="preserve">Revolver balance and unrestricted liquidity.</w:t>
      </w:r>
    </w:p>
    <w:p>
      <w:pPr>
        <w:pStyle w:val="Compact"/>
        <w:numPr>
          <w:ilvl w:val="0"/>
          <w:numId w:val="1013"/>
        </w:numPr>
      </w:pPr>
      <w:r>
        <w:t xml:space="preserve">Collateral requirements following commodity-price movements.</w:t>
      </w:r>
    </w:p>
    <w:p>
      <w:pPr>
        <w:pStyle w:val="Compact"/>
        <w:numPr>
          <w:ilvl w:val="0"/>
          <w:numId w:val="1013"/>
        </w:numPr>
      </w:pPr>
      <w:r>
        <w:t xml:space="preserve">Updated interest expense.</w:t>
      </w:r>
    </w:p>
    <w:p>
      <w:pPr>
        <w:pStyle w:val="Compact"/>
        <w:numPr>
          <w:ilvl w:val="0"/>
          <w:numId w:val="1013"/>
        </w:numPr>
      </w:pPr>
      <w:r>
        <w:t xml:space="preserve">Timing of the planned approximately</w:t>
      </w:r>
      <w:r>
        <w:t xml:space="preserve"> </w:t>
      </w:r>
      <w:r>
        <w:rPr>
          <w:b/>
          <w:bCs/>
        </w:rPr>
        <w:t xml:space="preserve">$1 billion of 2026 debt repayment</w:t>
      </w:r>
      <w:r>
        <w:t xml:space="preserve">.</w:t>
      </w:r>
    </w:p>
    <w:p>
      <w:pPr>
        <w:pStyle w:val="Compact"/>
        <w:numPr>
          <w:ilvl w:val="0"/>
          <w:numId w:val="1013"/>
        </w:numPr>
      </w:pPr>
      <w:r>
        <w:t xml:space="preserve">Whether the company remains on schedule to remove acquisition-related ring-fencing.</w:t>
      </w:r>
    </w:p>
    <w:p>
      <w:pPr>
        <w:pStyle w:val="FirstParagraph"/>
      </w:pPr>
      <w:r>
        <w:t xml:space="preserve">NRG disclosed that, as of March 31, a</w:t>
      </w:r>
      <w:r>
        <w:t xml:space="preserve"> </w:t>
      </w:r>
      <m:oMath>
        <m:r>
          <m:t>0.50</m:t>
        </m:r>
        <m:r>
          <m:rPr>
            <m:sty m:val="p"/>
          </m:rPr>
          <m:t>/</m:t>
        </m:r>
        <m:r>
          <m:t>M</m:t>
        </m:r>
        <m:r>
          <m:t>M</m:t>
        </m:r>
        <m:r>
          <m:t>B</m:t>
        </m:r>
        <m:r>
          <m:t>t</m:t>
        </m:r>
        <m:r>
          <m:t>u</m:t>
        </m:r>
        <m:r>
          <m:t>d</m:t>
        </m:r>
        <m:r>
          <m:t>e</m:t>
        </m:r>
        <m:r>
          <m:t>c</m:t>
        </m:r>
        <m:r>
          <m:t>l</m:t>
        </m:r>
        <m:r>
          <m:t>i</m:t>
        </m:r>
        <m:r>
          <m:t>n</m:t>
        </m:r>
        <m:r>
          <m:t>e</m:t>
        </m:r>
        <m:r>
          <m:t>i</m:t>
        </m:r>
        <m:r>
          <m:t>n</m:t>
        </m:r>
        <m:r>
          <m:t>n</m:t>
        </m:r>
        <m:r>
          <m:t>a</m:t>
        </m:r>
        <m:r>
          <m:t>t</m:t>
        </m:r>
        <m:r>
          <m:t>u</m:t>
        </m:r>
        <m:r>
          <m:t>r</m:t>
        </m:r>
        <m:r>
          <m:t>a</m:t>
        </m:r>
        <m:r>
          <m:t>l</m:t>
        </m:r>
        <m:r>
          <m:rPr>
            <m:sty m:val="p"/>
          </m:rPr>
          <m:t>−</m:t>
        </m:r>
        <m:r>
          <m:t>g</m:t>
        </m:r>
        <m:r>
          <m:t>a</m:t>
        </m:r>
        <m:r>
          <m:t>s</m:t>
        </m:r>
        <m:r>
          <m:t>p</m:t>
        </m:r>
        <m:r>
          <m:t>r</m:t>
        </m:r>
        <m:r>
          <m:t>i</m:t>
        </m:r>
        <m:r>
          <m:t>c</m:t>
        </m:r>
        <m:r>
          <m:t>e</m:t>
        </m:r>
        <m:r>
          <m:t>s</m:t>
        </m:r>
        <m:r>
          <m:t>c</m:t>
        </m:r>
        <m:r>
          <m:t>o</m:t>
        </m:r>
        <m:r>
          <m:t>u</m:t>
        </m:r>
        <m:r>
          <m:t>l</m:t>
        </m:r>
        <m:r>
          <m:t>d</m:t>
        </m:r>
        <m:r>
          <m:t>r</m:t>
        </m:r>
        <m:r>
          <m:t>e</m:t>
        </m:r>
        <m:r>
          <m:t>q</m:t>
        </m:r>
        <m:r>
          <m:t>u</m:t>
        </m:r>
        <m:r>
          <m:t>i</m:t>
        </m:r>
        <m:r>
          <m:t>r</m:t>
        </m:r>
        <m:r>
          <m:t>e</m:t>
        </m:r>
        <m:r>
          <m:t>a</m:t>
        </m:r>
        <m:r>
          <m:t>p</m:t>
        </m:r>
        <m:r>
          <m:t>p</m:t>
        </m:r>
        <m:r>
          <m:t>r</m:t>
        </m:r>
        <m:r>
          <m:t>o</m:t>
        </m:r>
        <m:r>
          <m:t>x</m:t>
        </m:r>
        <m:r>
          <m:t>i</m:t>
        </m:r>
        <m:r>
          <m:t>m</m:t>
        </m:r>
        <m:r>
          <m:t>a</m:t>
        </m:r>
        <m:r>
          <m:t>t</m:t>
        </m:r>
        <m:r>
          <m:t>e</m:t>
        </m:r>
        <m:r>
          <m:t>l</m:t>
        </m:r>
        <m:r>
          <m:t>y</m:t>
        </m:r>
        <m:r>
          <m:rPr>
            <m:sty m:val="p"/>
          </m:rPr>
          <m:t>*</m:t>
        </m:r>
        <m:r>
          <m:rPr>
            <m:sty m:val="p"/>
          </m:rPr>
          <m:t>*</m:t>
        </m:r>
      </m:oMath>
      <w:r>
        <w:t xml:space="preserve">1.3 billion of additional collateral** under simplified assumptions. That sensitivity makes liquidity and hedge positioning particularly important.</w:t>
      </w:r>
    </w:p>
    <w:bookmarkEnd w:id="22"/>
    <w:bookmarkStart w:id="23" w:name="buybacks"/>
    <w:p>
      <w:pPr>
        <w:pStyle w:val="Heading3"/>
      </w:pPr>
      <w:r>
        <w:t xml:space="preserve">Buybacks</w:t>
      </w:r>
    </w:p>
    <w:p>
      <w:pPr>
        <w:pStyle w:val="FirstParagraph"/>
      </w:pPr>
      <w:r>
        <w:t xml:space="preserve">NRG planned</w:t>
      </w:r>
      <w:r>
        <w:t xml:space="preserve"> </w:t>
      </w:r>
      <m:oMath>
        <m:r>
          <m:t>1</m:t>
        </m:r>
        <m:r>
          <m:t>b</m:t>
        </m:r>
        <m:r>
          <m:t>i</m:t>
        </m:r>
        <m:r>
          <m:t>l</m:t>
        </m:r>
        <m:r>
          <m:t>l</m:t>
        </m:r>
        <m:r>
          <m:t>i</m:t>
        </m:r>
        <m:r>
          <m:t>o</m:t>
        </m:r>
        <m:r>
          <m:t>n</m:t>
        </m:r>
        <m:r>
          <m:t>o</m:t>
        </m:r>
        <m:r>
          <m:t>f</m:t>
        </m:r>
        <m:r>
          <m:t>2026</m:t>
        </m:r>
        <m:r>
          <m:t>r</m:t>
        </m:r>
        <m:r>
          <m:t>e</m:t>
        </m:r>
        <m:r>
          <m:t>p</m:t>
        </m:r>
        <m:r>
          <m:t>u</m:t>
        </m:r>
        <m:r>
          <m:t>r</m:t>
        </m:r>
        <m:r>
          <m:t>c</m:t>
        </m:r>
        <m:r>
          <m:t>h</m:t>
        </m:r>
        <m:r>
          <m:t>a</m:t>
        </m:r>
        <m:r>
          <m:t>s</m:t>
        </m:r>
        <m:r>
          <m:t>e</m:t>
        </m:r>
        <m:r>
          <m:t>s</m:t>
        </m:r>
        <m:r>
          <m:rPr>
            <m:sty m:val="p"/>
          </m:rPr>
          <m:t>*</m:t>
        </m:r>
        <m:r>
          <m:rPr>
            <m:sty m:val="p"/>
          </m:rPr>
          <m:t>*</m:t>
        </m:r>
        <m:r>
          <m:t>a</m:t>
        </m:r>
        <m:r>
          <m:t>n</m:t>
        </m:r>
        <m:r>
          <m:t>d</m:t>
        </m:r>
        <m:r>
          <m:t>h</m:t>
        </m:r>
        <m:r>
          <m:t>a</m:t>
        </m:r>
        <m:r>
          <m:t>d</m:t>
        </m:r>
        <m:r>
          <m:t>a</m:t>
        </m:r>
        <m:r>
          <m:t>l</m:t>
        </m:r>
        <m:r>
          <m:t>r</m:t>
        </m:r>
        <m:r>
          <m:t>e</m:t>
        </m:r>
        <m:r>
          <m:t>a</m:t>
        </m:r>
        <m:r>
          <m:t>d</m:t>
        </m:r>
        <m:r>
          <m:t>y</m:t>
        </m:r>
        <m:r>
          <m:t>c</m:t>
        </m:r>
        <m:r>
          <m:t>o</m:t>
        </m:r>
        <m:r>
          <m:t>m</m:t>
        </m:r>
        <m:r>
          <m:t>p</m:t>
        </m:r>
        <m:r>
          <m:t>l</m:t>
        </m:r>
        <m:r>
          <m:t>e</m:t>
        </m:r>
        <m:r>
          <m:t>t</m:t>
        </m:r>
        <m:r>
          <m:t>e</m:t>
        </m:r>
        <m:r>
          <m:t>d</m:t>
        </m:r>
        <m:r>
          <m:rPr>
            <m:sty m:val="p"/>
          </m:rPr>
          <m:t>*</m:t>
        </m:r>
        <m:r>
          <m:rPr>
            <m:sty m:val="p"/>
          </m:rPr>
          <m:t>*</m:t>
        </m:r>
      </m:oMath>
      <w:r>
        <w:rPr>
          <w:b/>
          <w:bCs/>
        </w:rPr>
        <w:t xml:space="preserve">817 million through April 30</w:t>
      </w:r>
      <w:r>
        <w:t xml:space="preserve">, including shares repurchased from LS Power. That left only about $183 million under the stated annual plan at that date.</w:t>
      </w:r>
    </w:p>
    <w:p>
      <w:pPr>
        <w:pStyle w:val="BodyText"/>
      </w:pPr>
      <w:r>
        <w:t xml:space="preserve">Investors should ask:</w:t>
      </w:r>
    </w:p>
    <w:p>
      <w:pPr>
        <w:pStyle w:val="Compact"/>
        <w:numPr>
          <w:ilvl w:val="0"/>
          <w:numId w:val="1014"/>
        </w:numPr>
      </w:pPr>
      <w:r>
        <w:t xml:space="preserve">Has the original $1 billion program been completed?</w:t>
      </w:r>
    </w:p>
    <w:p>
      <w:pPr>
        <w:pStyle w:val="Compact"/>
        <w:numPr>
          <w:ilvl w:val="0"/>
          <w:numId w:val="1014"/>
        </w:numPr>
      </w:pPr>
      <w:r>
        <w:t xml:space="preserve">Will strong cash flow support repurchases above the original plan?</w:t>
      </w:r>
    </w:p>
    <w:p>
      <w:pPr>
        <w:pStyle w:val="Compact"/>
        <w:numPr>
          <w:ilvl w:val="0"/>
          <w:numId w:val="1014"/>
        </w:numPr>
      </w:pPr>
      <w:r>
        <w:t xml:space="preserve">How does management weigh incremental buybacks against deleveraging and growth investments?</w:t>
      </w:r>
    </w:p>
    <w:p>
      <w:pPr>
        <w:pStyle w:val="Compact"/>
        <w:numPr>
          <w:ilvl w:val="0"/>
          <w:numId w:val="1014"/>
        </w:numPr>
      </w:pPr>
      <w:r>
        <w:t xml:space="preserve">What is the updated diluted share-count assumption?</w:t>
      </w:r>
    </w:p>
    <w:p>
      <w:pPr>
        <w:pStyle w:val="FirstParagraph"/>
      </w:pPr>
      <w:r>
        <w:t xml:space="preserve">The stock’s decline since early 2026 could make additional repurchases attractive, but balance-sheet progress should remain the priority after a debt-funded acquisition.</w:t>
      </w:r>
    </w:p>
    <w:p>
      <w:r>
        <w:pict>
          <v:rect style="width:0;height:1.5pt" o:hralign="center" o:hrstd="t" o:hr="t"/>
        </w:pict>
      </w:r>
    </w:p>
    <w:bookmarkEnd w:id="23"/>
    <w:bookmarkEnd w:id="24"/>
    <w:bookmarkStart w:id="25" w:name="gaap-noise-versus-underlying-performance"/>
    <w:p>
      <w:pPr>
        <w:pStyle w:val="Heading2"/>
      </w:pPr>
      <w:r>
        <w:t xml:space="preserve">GAAP noise versus underlying performance</w:t>
      </w:r>
    </w:p>
    <w:p>
      <w:pPr>
        <w:pStyle w:val="FirstParagraph"/>
      </w:pPr>
      <w:r>
        <w:t xml:space="preserve">Investors should be cautious about reacting to GAAP net income or GAAP EPS in isolation.</w:t>
      </w:r>
    </w:p>
    <w:p>
      <w:pPr>
        <w:pStyle w:val="BodyText"/>
      </w:pPr>
      <w:r>
        <w:t xml:space="preserve">NRG’s derivatives used for economic hedging can be marked to market while the associated customer contracts or physical assets are not. That mismatch can produce substantial temporary gains or losses. In Q1, the company recorded a</w:t>
      </w:r>
      <w:r>
        <w:t xml:space="preserve"> </w:t>
      </w:r>
      <w:r>
        <w:rPr>
          <w:b/>
          <w:bCs/>
        </w:rPr>
        <w:t xml:space="preserve">$205 million mark-to-market loss on economic hedges</w:t>
      </w:r>
      <w:r>
        <w:t xml:space="preserve">, contributing to the gap between GAAP and adjusted results.</w:t>
      </w:r>
    </w:p>
    <w:p>
      <w:pPr>
        <w:pStyle w:val="BodyText"/>
      </w:pPr>
      <w:r>
        <w:t xml:space="preserve">The most useful earnings measures for this report are therefore:</w:t>
      </w:r>
    </w:p>
    <w:p>
      <w:pPr>
        <w:pStyle w:val="Compact"/>
        <w:numPr>
          <w:ilvl w:val="0"/>
          <w:numId w:val="1015"/>
        </w:numPr>
      </w:pPr>
      <w:r>
        <w:t xml:space="preserve">Adjusted EBITDA by segment.</w:t>
      </w:r>
    </w:p>
    <w:p>
      <w:pPr>
        <w:pStyle w:val="Compact"/>
        <w:numPr>
          <w:ilvl w:val="0"/>
          <w:numId w:val="1015"/>
        </w:numPr>
      </w:pPr>
      <w:r>
        <w:t xml:space="preserve">Adjusted EPS.</w:t>
      </w:r>
    </w:p>
    <w:p>
      <w:pPr>
        <w:pStyle w:val="Compact"/>
        <w:numPr>
          <w:ilvl w:val="0"/>
          <w:numId w:val="1015"/>
        </w:numPr>
      </w:pPr>
      <w:r>
        <w:t xml:space="preserve">Realized economic gross margin.</w:t>
      </w:r>
    </w:p>
    <w:p>
      <w:pPr>
        <w:pStyle w:val="Compact"/>
        <w:numPr>
          <w:ilvl w:val="0"/>
          <w:numId w:val="1015"/>
        </w:numPr>
      </w:pPr>
      <w:r>
        <w:t xml:space="preserve">FCF before growth investments.</w:t>
      </w:r>
    </w:p>
    <w:p>
      <w:pPr>
        <w:pStyle w:val="Compact"/>
        <w:numPr>
          <w:ilvl w:val="0"/>
          <w:numId w:val="1015"/>
        </w:numPr>
      </w:pPr>
      <w:r>
        <w:t xml:space="preserve">Collateral and working-capital movements.</w:t>
      </w:r>
    </w:p>
    <w:p>
      <w:pPr>
        <w:pStyle w:val="Compact"/>
        <w:numPr>
          <w:ilvl w:val="0"/>
          <w:numId w:val="1015"/>
        </w:numPr>
      </w:pPr>
      <w:r>
        <w:t xml:space="preserve">Guidance and the implied second-half earnings bridge.</w:t>
      </w:r>
    </w:p>
    <w:p>
      <w:r>
        <w:pict>
          <v:rect style="width:0;height:1.5pt" o:hralign="center" o:hrstd="t" o:hr="t"/>
        </w:pict>
      </w:r>
    </w:p>
    <w:bookmarkEnd w:id="25"/>
    <w:bookmarkStart w:id="29" w:name="scenario-framework"/>
    <w:p>
      <w:pPr>
        <w:pStyle w:val="Heading2"/>
      </w:pPr>
      <w:r>
        <w:t xml:space="preserve">Scenario framework</w:t>
      </w:r>
    </w:p>
    <w:bookmarkStart w:id="26" w:name="bull-case"/>
    <w:p>
      <w:pPr>
        <w:pStyle w:val="Heading3"/>
      </w:pPr>
      <w:r>
        <w:t xml:space="preserve">Bull case</w:t>
      </w:r>
    </w:p>
    <w:p>
      <w:pPr>
        <w:pStyle w:val="Compact"/>
        <w:numPr>
          <w:ilvl w:val="0"/>
          <w:numId w:val="1016"/>
        </w:numPr>
      </w:pPr>
      <w:r>
        <w:t xml:space="preserve">Guidance maintained with confidence around the upper half.</w:t>
      </w:r>
    </w:p>
    <w:p>
      <w:pPr>
        <w:pStyle w:val="Compact"/>
        <w:numPr>
          <w:ilvl w:val="0"/>
          <w:numId w:val="1016"/>
        </w:numPr>
      </w:pPr>
      <w:r>
        <w:t xml:space="preserve">Strong full-quarter contribution from LS assets.</w:t>
      </w:r>
    </w:p>
    <w:p>
      <w:pPr>
        <w:pStyle w:val="Compact"/>
        <w:numPr>
          <w:ilvl w:val="0"/>
          <w:numId w:val="1016"/>
        </w:numPr>
      </w:pPr>
      <w:r>
        <w:t xml:space="preserve">T.H. Wharton operating on schedule and budget.</w:t>
      </w:r>
    </w:p>
    <w:p>
      <w:pPr>
        <w:pStyle w:val="Compact"/>
        <w:numPr>
          <w:ilvl w:val="0"/>
          <w:numId w:val="1016"/>
        </w:numPr>
      </w:pPr>
      <w:r>
        <w:t xml:space="preserve">Visible working-capital reversal and improving FCF.</w:t>
      </w:r>
    </w:p>
    <w:p>
      <w:pPr>
        <w:pStyle w:val="Compact"/>
        <w:numPr>
          <w:ilvl w:val="0"/>
          <w:numId w:val="1016"/>
        </w:numPr>
      </w:pPr>
      <w:r>
        <w:t xml:space="preserve">Incremental detail on PJM auction economics.</w:t>
      </w:r>
    </w:p>
    <w:p>
      <w:pPr>
        <w:pStyle w:val="Compact"/>
        <w:numPr>
          <w:ilvl w:val="0"/>
          <w:numId w:val="1016"/>
        </w:numPr>
      </w:pPr>
      <w:r>
        <w:t xml:space="preserve">A meaningful large-load contracting milestone.</w:t>
      </w:r>
    </w:p>
    <w:p>
      <w:pPr>
        <w:pStyle w:val="Compact"/>
        <w:numPr>
          <w:ilvl w:val="0"/>
          <w:numId w:val="1016"/>
        </w:numPr>
      </w:pPr>
      <w:r>
        <w:t xml:space="preserve">Additional buyback capacity without compromising leverage.</w:t>
      </w:r>
    </w:p>
    <w:bookmarkEnd w:id="26"/>
    <w:bookmarkStart w:id="27" w:name="base-case"/>
    <w:p>
      <w:pPr>
        <w:pStyle w:val="Heading3"/>
      </w:pPr>
      <w:r>
        <w:t xml:space="preserve">Base case</w:t>
      </w:r>
    </w:p>
    <w:p>
      <w:pPr>
        <w:pStyle w:val="Compact"/>
        <w:numPr>
          <w:ilvl w:val="0"/>
          <w:numId w:val="1017"/>
        </w:numPr>
      </w:pPr>
      <w:r>
        <w:t xml:space="preserve">Guidance reaffirmed, but no change to the range.</w:t>
      </w:r>
    </w:p>
    <w:p>
      <w:pPr>
        <w:pStyle w:val="Compact"/>
        <w:numPr>
          <w:ilvl w:val="0"/>
          <w:numId w:val="1017"/>
        </w:numPr>
      </w:pPr>
      <w:r>
        <w:t xml:space="preserve">LS integration and Texas projects broadly on plan.</w:t>
      </w:r>
    </w:p>
    <w:p>
      <w:pPr>
        <w:pStyle w:val="Compact"/>
        <w:numPr>
          <w:ilvl w:val="0"/>
          <w:numId w:val="1017"/>
        </w:numPr>
      </w:pPr>
      <w:r>
        <w:t xml:space="preserve">Q2 cash flow improves, with most conversion still expected in the second half.</w:t>
      </w:r>
    </w:p>
    <w:p>
      <w:pPr>
        <w:pStyle w:val="Compact"/>
        <w:numPr>
          <w:ilvl w:val="0"/>
          <w:numId w:val="1017"/>
        </w:numPr>
      </w:pPr>
      <w:r>
        <w:t xml:space="preserve">Management remains optimistic on data centers but announces no contract.</w:t>
      </w:r>
    </w:p>
    <w:p>
      <w:pPr>
        <w:pStyle w:val="Compact"/>
        <w:numPr>
          <w:ilvl w:val="0"/>
          <w:numId w:val="1017"/>
        </w:numPr>
      </w:pPr>
      <w:r>
        <w:t xml:space="preserve">PJM auction result supports the long-term thesis but has little near-term impact.</w:t>
      </w:r>
    </w:p>
    <w:bookmarkEnd w:id="27"/>
    <w:bookmarkStart w:id="28" w:name="bear-case"/>
    <w:p>
      <w:pPr>
        <w:pStyle w:val="Heading3"/>
      </w:pPr>
      <w:r>
        <w:t xml:space="preserve">Bear case</w:t>
      </w:r>
    </w:p>
    <w:p>
      <w:pPr>
        <w:pStyle w:val="Compact"/>
        <w:numPr>
          <w:ilvl w:val="0"/>
          <w:numId w:val="1018"/>
        </w:numPr>
      </w:pPr>
      <w:r>
        <w:t xml:space="preserve">Guidance reduced or management points toward the bottom end.</w:t>
      </w:r>
    </w:p>
    <w:p>
      <w:pPr>
        <w:pStyle w:val="Compact"/>
        <w:numPr>
          <w:ilvl w:val="0"/>
          <w:numId w:val="1018"/>
        </w:numPr>
      </w:pPr>
      <w:r>
        <w:t xml:space="preserve">Weak Texas retail or generation margins.</w:t>
      </w:r>
    </w:p>
    <w:p>
      <w:pPr>
        <w:pStyle w:val="Compact"/>
        <w:numPr>
          <w:ilvl w:val="0"/>
          <w:numId w:val="1018"/>
        </w:numPr>
      </w:pPr>
      <w:r>
        <w:t xml:space="preserve">LS assets experience outages, cost pressure, or slower integration.</w:t>
      </w:r>
    </w:p>
    <w:p>
      <w:pPr>
        <w:pStyle w:val="Compact"/>
        <w:numPr>
          <w:ilvl w:val="0"/>
          <w:numId w:val="1018"/>
        </w:numPr>
      </w:pPr>
      <w:r>
        <w:t xml:space="preserve">Working-capital recovery is deferred.</w:t>
      </w:r>
    </w:p>
    <w:p>
      <w:pPr>
        <w:pStyle w:val="Compact"/>
        <w:numPr>
          <w:ilvl w:val="0"/>
          <w:numId w:val="1018"/>
        </w:numPr>
      </w:pPr>
      <w:r>
        <w:t xml:space="preserve">Deleveraging falls behind schedule.</w:t>
      </w:r>
    </w:p>
    <w:p>
      <w:pPr>
        <w:pStyle w:val="Compact"/>
        <w:numPr>
          <w:ilvl w:val="0"/>
          <w:numId w:val="1018"/>
        </w:numPr>
      </w:pPr>
      <w:r>
        <w:t xml:space="preserve">T.H. Wharton timing or cost disappoints.</w:t>
      </w:r>
    </w:p>
    <w:p>
      <w:pPr>
        <w:pStyle w:val="Compact"/>
        <w:numPr>
          <w:ilvl w:val="0"/>
          <w:numId w:val="1018"/>
        </w:numPr>
      </w:pPr>
      <w:r>
        <w:t xml:space="preserve">Large-load discussions remain vague while expected contracting timelines slip.</w:t>
      </w:r>
    </w:p>
    <w:bookmarkEnd w:id="28"/>
    <w:bookmarkEnd w:id="29"/>
    <w:bookmarkStart w:id="30" w:name="bottom-line"/>
    <w:p>
      <w:pPr>
        <w:pStyle w:val="Heading2"/>
      </w:pPr>
      <w:r>
        <w:t xml:space="preserve">Bottom line</w:t>
      </w:r>
    </w:p>
    <w:p>
      <w:pPr>
        <w:pStyle w:val="FirstParagraph"/>
      </w:pPr>
      <w:r>
        <w:t xml:space="preserve">The report is primarily an</w:t>
      </w:r>
      <w:r>
        <w:t xml:space="preserve"> </w:t>
      </w:r>
      <w:r>
        <w:rPr>
          <w:b/>
          <w:bCs/>
        </w:rPr>
        <w:t xml:space="preserve">execution and guidance test</w:t>
      </w:r>
      <w:r>
        <w:t xml:space="preserve">.</w:t>
      </w:r>
    </w:p>
    <w:p>
      <w:pPr>
        <w:pStyle w:val="BodyText"/>
      </w:pPr>
      <w:r>
        <w:t xml:space="preserve">NRG’s long-term story has strengthened through the LS acquisition, increased PJM exposure, new Texas generation, Vivint growth, demand response, and potential data-center contracting. But the near-term financial burden has also increased: leverage, interest expense, depreciation, integration risk, and collateral sensitivity are all higher.</w:t>
      </w:r>
    </w:p>
    <w:p>
      <w:pPr>
        <w:pStyle w:val="BodyText"/>
      </w:pPr>
      <w:r>
        <w:t xml:space="preserve">The best outcome is not necessarily a dramatic Q2 earnings beat. It is evidence that:</w:t>
      </w:r>
    </w:p>
    <w:p>
      <w:pPr>
        <w:pStyle w:val="Compact"/>
        <w:numPr>
          <w:ilvl w:val="0"/>
          <w:numId w:val="1019"/>
        </w:numPr>
      </w:pPr>
      <w:r>
        <w:t xml:space="preserve">the acquired fleet is performing,</w:t>
      </w:r>
    </w:p>
    <w:p>
      <w:pPr>
        <w:pStyle w:val="Compact"/>
        <w:numPr>
          <w:ilvl w:val="0"/>
          <w:numId w:val="1019"/>
        </w:numPr>
      </w:pPr>
      <w:r>
        <w:t xml:space="preserve">full-year cash flow is beginning to materialize,</w:t>
      </w:r>
    </w:p>
    <w:p>
      <w:pPr>
        <w:pStyle w:val="Compact"/>
        <w:numPr>
          <w:ilvl w:val="0"/>
          <w:numId w:val="1019"/>
        </w:numPr>
      </w:pPr>
      <w:r>
        <w:t xml:space="preserve">Texas projects are being delivered as promised,</w:t>
      </w:r>
    </w:p>
    <w:p>
      <w:pPr>
        <w:pStyle w:val="Compact"/>
        <w:numPr>
          <w:ilvl w:val="0"/>
          <w:numId w:val="1019"/>
        </w:numPr>
      </w:pPr>
      <w:r>
        <w:t xml:space="preserve">leverage is falling,</w:t>
      </w:r>
    </w:p>
    <w:p>
      <w:pPr>
        <w:pStyle w:val="Compact"/>
        <w:numPr>
          <w:ilvl w:val="0"/>
          <w:numId w:val="1019"/>
        </w:numPr>
      </w:pPr>
      <w:r>
        <w:t xml:space="preserve">and the company is turning unusually strong power-demand fundamentals into contracted, high-return growth.</w:t>
      </w:r>
    </w:p>
    <w:p>
      <w:pPr>
        <w:pStyle w:val="FirstParagraph"/>
      </w:pPr>
      <w:r>
        <w:t xml:space="preserve">If management can provide that evidence while credibly defending the midpoint or upper half of 2026 guidance, the reset in NRG’s share price could offer a favorable setup. If the outlook remains heavily dependent on second-half weather, working-capital recovery, and still-unsigned large-load agreements, investors may continue to discount the longer-term opportunity.</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2026-08-04T00:58:20Z</dcterms:created>
  <dcterms:modified xsi:type="dcterms:W3CDTF">2026-08-04T00:58:20Z</dcterms:modified>
</cp:coreProperties>
</file>

<file path=docProps/custom.xml><?xml version="1.0" encoding="utf-8"?>
<Properties xmlns="http://schemas.openxmlformats.org/officeDocument/2006/custom-properties" xmlns:vt="http://schemas.openxmlformats.org/officeDocument/2006/docPropsVTypes"/>
</file>