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rg-earnings-predictions--2026-08-04"/>
    <w:p>
      <w:pPr>
        <w:pStyle w:val="Heading1"/>
      </w:pPr>
      <w:r>
        <w:t xml:space="preserve">NRG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~$1.43B vs. cons $1.38B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~$2.42 vs. cons $2.31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FCF before Growth Investments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~$810M vs. cons $850M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~$5.58B vs. cons $5.60B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~$8.90 vs. cons $9.00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FCF before Growth Investments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~$3.05B vs. cons $3.05B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Texas Energy Fund / T.H. Wharton operating-status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~415 MW in commercial operation vs. cons 415 MW (2Q26)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1.43</m:t>
              </m:r>
              <m:r>
                <m:t>B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1.38B consensus, combined with intact ~</w:t>
            </w:r>
            <m:oMath>
              <m:r>
                <m:t>5.58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5.60B consensus, should support upward confidence in the post-acquisition run-rate. The softer ~</w:t>
            </w:r>
            <m:oMath>
              <m:r>
                <m:t>810</m:t>
              </m:r>
              <m:r>
                <m:t>M</m:t>
              </m:r>
              <m:r>
                <m:t>F</m:t>
              </m:r>
              <m:r>
                <m:t>C</m:t>
              </m:r>
              <m:r>
                <m:t>F</m:t>
              </m:r>
              <m:r>
                <m:t>b</m:t>
              </m:r>
              <m:r>
                <m:t>G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850M consensus is likely viewed as working-capital timing rather than an out-period earnings reset, allowing estimate revisions and valuation support to extend beyond day one.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2026-08-04T00:56:53Z</dcterms:created>
  <dcterms:modified xsi:type="dcterms:W3CDTF">2026-08-04T00:56:53Z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